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B8" w:rsidRDefault="00677EB8" w:rsidP="00677EB8">
      <w: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817370" cy="71310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EB8" w:rsidRDefault="00677EB8" w:rsidP="00677EB8">
      <w:r>
        <w:t xml:space="preserve"> </w:t>
      </w:r>
      <w:r>
        <w:rPr>
          <w:noProof/>
        </w:rPr>
        <w:drawing>
          <wp:inline distT="0" distB="0" distL="0" distR="0">
            <wp:extent cx="2061663" cy="28179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05" cy="28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</w:t>
      </w:r>
    </w:p>
    <w:p w:rsidR="00677EB8" w:rsidRDefault="00E23076" w:rsidP="00677EB8">
      <w:pPr>
        <w:pStyle w:val="Note6pt"/>
        <w:jc w:val="both"/>
        <w:rPr>
          <w:rFonts w:ascii="AcadMtavr" w:hAnsi="AcadMtavr"/>
        </w:rPr>
      </w:pPr>
      <w:proofErr w:type="spellStart"/>
      <w:proofErr w:type="gramStart"/>
      <w:r>
        <w:rPr>
          <w:rFonts w:ascii="AcadMtavr" w:hAnsi="AcadMtavr"/>
        </w:rPr>
        <w:t>higienuri</w:t>
      </w:r>
      <w:proofErr w:type="spellEnd"/>
      <w:proofErr w:type="gramEnd"/>
      <w:r>
        <w:rPr>
          <w:rFonts w:ascii="AcadMtavr" w:hAnsi="AcadMtavr"/>
        </w:rPr>
        <w:t xml:space="preserve"> da </w:t>
      </w:r>
      <w:proofErr w:type="spellStart"/>
      <w:r w:rsidR="00677EB8">
        <w:rPr>
          <w:rFonts w:ascii="AcadMtavr" w:hAnsi="AcadMtavr"/>
        </w:rPr>
        <w:t>sadezinfe</w:t>
      </w:r>
      <w:r>
        <w:rPr>
          <w:rFonts w:ascii="AcadMtavr" w:hAnsi="AcadMtavr"/>
        </w:rPr>
        <w:t>q</w:t>
      </w:r>
      <w:r w:rsidR="00677EB8">
        <w:rPr>
          <w:rFonts w:ascii="AcadMtavr" w:hAnsi="AcadMtavr"/>
        </w:rPr>
        <w:t>cio</w:t>
      </w:r>
      <w:proofErr w:type="spellEnd"/>
      <w:r w:rsidR="00677EB8">
        <w:rPr>
          <w:rFonts w:ascii="AcadMtavr" w:hAnsi="AcadMtavr"/>
        </w:rPr>
        <w:t xml:space="preserve"> </w:t>
      </w:r>
      <w:proofErr w:type="spellStart"/>
      <w:r w:rsidR="00677EB8">
        <w:rPr>
          <w:rFonts w:ascii="AcadMtavr" w:hAnsi="AcadMtavr"/>
        </w:rPr>
        <w:t>sawmendi</w:t>
      </w:r>
      <w:proofErr w:type="spellEnd"/>
      <w:r w:rsidR="00677EB8">
        <w:rPr>
          <w:rFonts w:ascii="AcadMtavr" w:hAnsi="AcadMtavr"/>
        </w:rPr>
        <w:t xml:space="preserve"> </w:t>
      </w:r>
      <w:proofErr w:type="spellStart"/>
      <w:r>
        <w:rPr>
          <w:rFonts w:ascii="AcadMtavr" w:hAnsi="AcadMtavr"/>
        </w:rPr>
        <w:t>xelebisaTvis</w:t>
      </w:r>
      <w:proofErr w:type="spellEnd"/>
    </w:p>
    <w:p w:rsidR="00677EB8" w:rsidRDefault="00677EB8" w:rsidP="00677EB8">
      <w:pPr>
        <w:rPr>
          <w:rFonts w:ascii="AcadMtavr" w:hAnsi="AcadMtavr"/>
        </w:rPr>
      </w:pPr>
    </w:p>
    <w:p w:rsidR="00677EB8" w:rsidRDefault="00677EB8" w:rsidP="00677EB8">
      <w:pPr>
        <w:rPr>
          <w:rFonts w:ascii="AcadMtavr" w:hAnsi="AcadMtav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342265</wp:posOffset>
            </wp:positionV>
            <wp:extent cx="651510" cy="333375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="00025792">
        <w:rPr>
          <w:rFonts w:ascii="AcadMtavr" w:hAnsi="AcadMtavr"/>
        </w:rPr>
        <w:t>xelis</w:t>
      </w:r>
      <w:proofErr w:type="spellEnd"/>
      <w:proofErr w:type="gramEnd"/>
      <w:r>
        <w:rPr>
          <w:rFonts w:ascii="AcadMtavr" w:hAnsi="AcadMtavr"/>
        </w:rPr>
        <w:t xml:space="preserve"> </w:t>
      </w:r>
      <w:proofErr w:type="spellStart"/>
      <w:r>
        <w:rPr>
          <w:rFonts w:ascii="AcadMtavr" w:hAnsi="AcadMtavr"/>
        </w:rPr>
        <w:t>sadezinfecio</w:t>
      </w:r>
      <w:proofErr w:type="spellEnd"/>
      <w:r>
        <w:rPr>
          <w:rFonts w:ascii="AcadMtavr" w:hAnsi="AcadMtavr"/>
        </w:rPr>
        <w:t xml:space="preserve"> </w:t>
      </w:r>
      <w:proofErr w:type="spellStart"/>
      <w:r w:rsidR="00025792">
        <w:rPr>
          <w:rFonts w:ascii="AcadMtavr" w:hAnsi="AcadMtavr"/>
        </w:rPr>
        <w:t>saSualeba</w:t>
      </w:r>
      <w:proofErr w:type="spellEnd"/>
      <w:r>
        <w:rPr>
          <w:rFonts w:ascii="AcadMtavr" w:hAnsi="AcadMtavr"/>
        </w:rPr>
        <w:t xml:space="preserve">. </w:t>
      </w:r>
      <w:proofErr w:type="spellStart"/>
      <w:proofErr w:type="gramStart"/>
      <w:r w:rsidR="00025792">
        <w:rPr>
          <w:rFonts w:ascii="AcadMtavr" w:hAnsi="AcadMtavr"/>
        </w:rPr>
        <w:t>arbilebs</w:t>
      </w:r>
      <w:proofErr w:type="spellEnd"/>
      <w:proofErr w:type="gramEnd"/>
      <w:r w:rsidR="00025792">
        <w:rPr>
          <w:rFonts w:ascii="AcadMtavr" w:hAnsi="AcadMtavr"/>
        </w:rPr>
        <w:t xml:space="preserve"> da </w:t>
      </w:r>
      <w:proofErr w:type="spellStart"/>
      <w:r w:rsidR="00025792">
        <w:rPr>
          <w:rFonts w:ascii="AcadMtavr" w:hAnsi="AcadMtavr"/>
        </w:rPr>
        <w:t>uvlis</w:t>
      </w:r>
      <w:proofErr w:type="spellEnd"/>
      <w:r w:rsidR="00025792">
        <w:rPr>
          <w:rFonts w:ascii="AcadMtavr" w:hAnsi="AcadMtavr"/>
        </w:rPr>
        <w:t xml:space="preserve"> </w:t>
      </w:r>
      <w:proofErr w:type="spellStart"/>
      <w:r w:rsidR="00025792">
        <w:rPr>
          <w:rFonts w:ascii="AcadMtavr" w:hAnsi="AcadMtavr"/>
        </w:rPr>
        <w:t>kans.</w:t>
      </w:r>
      <w:proofErr w:type="spellEnd"/>
      <w:r w:rsidR="00025792">
        <w:rPr>
          <w:rFonts w:ascii="AcadMtavr" w:hAnsi="AcadMtavr"/>
        </w:rPr>
        <w:t xml:space="preserve"> </w:t>
      </w:r>
      <w:proofErr w:type="spellStart"/>
      <w:proofErr w:type="gramStart"/>
      <w:r w:rsidR="00025792">
        <w:rPr>
          <w:rFonts w:ascii="AcadMtavr" w:hAnsi="AcadMtavr"/>
        </w:rPr>
        <w:t>aqtiuria</w:t>
      </w:r>
      <w:proofErr w:type="spellEnd"/>
      <w:proofErr w:type="gramEnd"/>
      <w:r w:rsidR="00025792">
        <w:rPr>
          <w:rFonts w:ascii="AcadMtavr" w:hAnsi="AcadMtavr"/>
        </w:rPr>
        <w:t xml:space="preserve"> </w:t>
      </w:r>
      <w:proofErr w:type="spellStart"/>
      <w:r w:rsidR="00025792">
        <w:rPr>
          <w:rFonts w:ascii="AcadMtavr" w:hAnsi="AcadMtavr"/>
        </w:rPr>
        <w:t>xveu</w:t>
      </w:r>
      <w:r w:rsidR="00B0773A">
        <w:rPr>
          <w:rFonts w:ascii="AcadMtavr" w:hAnsi="AcadMtavr"/>
        </w:rPr>
        <w:t>l</w:t>
      </w:r>
      <w:bookmarkStart w:id="0" w:name="_GoBack"/>
      <w:bookmarkEnd w:id="0"/>
      <w:r w:rsidR="00025792">
        <w:rPr>
          <w:rFonts w:ascii="AcadMtavr" w:hAnsi="AcadMtavr"/>
        </w:rPr>
        <w:t>i</w:t>
      </w:r>
      <w:proofErr w:type="spellEnd"/>
      <w:r w:rsidR="00025792">
        <w:rPr>
          <w:rFonts w:ascii="AcadMtavr" w:hAnsi="AcadMtavr"/>
        </w:rPr>
        <w:t xml:space="preserve"> </w:t>
      </w:r>
      <w:proofErr w:type="spellStart"/>
      <w:r w:rsidR="00025792">
        <w:rPr>
          <w:rFonts w:ascii="AcadMtavr" w:hAnsi="AcadMtavr"/>
        </w:rPr>
        <w:t>virusebisadmi</w:t>
      </w:r>
      <w:proofErr w:type="spellEnd"/>
      <w:r w:rsidR="00025792">
        <w:rPr>
          <w:rFonts w:ascii="AcadMtavr" w:hAnsi="AcadMtavr"/>
        </w:rPr>
        <w:t xml:space="preserve">. </w:t>
      </w:r>
      <w:proofErr w:type="spellStart"/>
      <w:proofErr w:type="gramStart"/>
      <w:r w:rsidR="00025792">
        <w:rPr>
          <w:rFonts w:ascii="AcadMtavr" w:hAnsi="AcadMtavr"/>
        </w:rPr>
        <w:t>gamoiyeneba</w:t>
      </w:r>
      <w:proofErr w:type="spellEnd"/>
      <w:proofErr w:type="gramEnd"/>
      <w:r w:rsidR="00025792">
        <w:rPr>
          <w:rFonts w:ascii="AcadMtavr" w:hAnsi="AcadMtavr"/>
        </w:rPr>
        <w:t xml:space="preserve"> </w:t>
      </w:r>
      <w:proofErr w:type="spellStart"/>
      <w:r w:rsidR="00025792">
        <w:rPr>
          <w:rFonts w:ascii="AcadMtavr" w:hAnsi="AcadMtavr"/>
        </w:rPr>
        <w:t>saoperacioebisaTvis</w:t>
      </w:r>
      <w:proofErr w:type="spellEnd"/>
      <w:r w:rsidR="00025792">
        <w:rPr>
          <w:rFonts w:ascii="AcadMtavr" w:hAnsi="AcadMtavr"/>
        </w:rPr>
        <w:t>.</w:t>
      </w:r>
    </w:p>
    <w:p w:rsidR="00677EB8" w:rsidRDefault="00677EB8" w:rsidP="00677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076" w:rsidRDefault="00E23076" w:rsidP="00677EB8">
      <w:pPr>
        <w:pStyle w:val="Defaul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133985</wp:posOffset>
            </wp:positionV>
            <wp:extent cx="1303655" cy="39052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076" w:rsidRDefault="00E23076" w:rsidP="00677EB8">
      <w:pPr>
        <w:pStyle w:val="Default"/>
        <w:rPr>
          <w:b/>
          <w:bCs/>
          <w:sz w:val="20"/>
          <w:szCs w:val="20"/>
        </w:rPr>
      </w:pPr>
    </w:p>
    <w:p w:rsidR="00E23076" w:rsidRDefault="00E23076" w:rsidP="00677EB8">
      <w:pPr>
        <w:pStyle w:val="Default"/>
        <w:rPr>
          <w:b/>
          <w:bCs/>
          <w:sz w:val="20"/>
          <w:szCs w:val="20"/>
        </w:rPr>
      </w:pPr>
    </w:p>
    <w:p w:rsidR="00DB7A9C" w:rsidRDefault="00DB7A9C" w:rsidP="00DB7A9C">
      <w:pPr>
        <w:pStyle w:val="Default"/>
        <w:rPr>
          <w:b/>
          <w:bCs/>
          <w:sz w:val="20"/>
          <w:szCs w:val="20"/>
        </w:rPr>
      </w:pPr>
      <w:proofErr w:type="spellStart"/>
      <w:r w:rsidRPr="00DB7A9C">
        <w:rPr>
          <w:b/>
          <w:bCs/>
          <w:sz w:val="20"/>
          <w:szCs w:val="20"/>
        </w:rPr>
        <w:t>Sterillium</w:t>
      </w:r>
      <w:proofErr w:type="spellEnd"/>
      <w:r w:rsidRPr="00DB7A9C">
        <w:rPr>
          <w:b/>
          <w:bCs/>
          <w:sz w:val="20"/>
          <w:szCs w:val="20"/>
        </w:rPr>
        <w:t xml:space="preserve">® </w:t>
      </w:r>
    </w:p>
    <w:p w:rsidR="0088005C" w:rsidRPr="00DB7A9C" w:rsidRDefault="0088005C" w:rsidP="00DB7A9C">
      <w:pPr>
        <w:pStyle w:val="Defaul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77EB8" w:rsidTr="00EE49AA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B8" w:rsidRDefault="00677EB8" w:rsidP="00EE49AA">
            <w:pPr>
              <w:pStyle w:val="Default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produqtis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monacemebi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 </w:t>
            </w:r>
          </w:p>
          <w:p w:rsidR="00677EB8" w:rsidRDefault="00735927" w:rsidP="00EE49AA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swrafi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efeqturoba</w:t>
            </w:r>
            <w:proofErr w:type="spellEnd"/>
          </w:p>
          <w:p w:rsidR="00677EB8" w:rsidRDefault="00735927" w:rsidP="00EE49AA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aqvs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narCenebis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moSorebis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Zalzed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kargi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efeqti</w:t>
            </w:r>
            <w:proofErr w:type="spellEnd"/>
          </w:p>
          <w:p w:rsidR="00677EB8" w:rsidRPr="003E1E1A" w:rsidRDefault="00735927" w:rsidP="00EE49AA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icavs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kans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xangrZlivi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gamoyenebisas</w:t>
            </w:r>
            <w:proofErr w:type="spellEnd"/>
          </w:p>
          <w:p w:rsidR="00677EB8" w:rsidRDefault="00677EB8" w:rsidP="00EE49AA">
            <w:pPr>
              <w:pStyle w:val="Default"/>
              <w:rPr>
                <w:rFonts w:ascii="AcadNusx" w:hAnsi="AcadNusx"/>
                <w:sz w:val="16"/>
                <w:szCs w:val="16"/>
              </w:rPr>
            </w:pPr>
          </w:p>
          <w:p w:rsidR="00677EB8" w:rsidRDefault="00677EB8" w:rsidP="00EE49AA">
            <w:pPr>
              <w:tabs>
                <w:tab w:val="left" w:pos="989"/>
              </w:tabs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Semadgenloba</w:t>
            </w:r>
            <w:proofErr w:type="spellEnd"/>
          </w:p>
          <w:p w:rsidR="00735927" w:rsidRDefault="00735927" w:rsidP="00EE49AA">
            <w:pPr>
              <w:tabs>
                <w:tab w:val="left" w:pos="989"/>
              </w:tabs>
              <w:rPr>
                <w:rFonts w:ascii="AcadNusx" w:hAnsi="AcadNusx"/>
                <w:sz w:val="16"/>
                <w:szCs w:val="16"/>
              </w:rPr>
            </w:pPr>
            <w:r>
              <w:rPr>
                <w:rFonts w:ascii="AcadNusx" w:hAnsi="AcadNusx"/>
                <w:sz w:val="16"/>
                <w:szCs w:val="16"/>
              </w:rPr>
              <w:t xml:space="preserve">100g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xsnari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Seicavs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: </w:t>
            </w:r>
            <w:r>
              <w:rPr>
                <w:color w:val="000000"/>
                <w:sz w:val="17"/>
                <w:szCs w:val="17"/>
              </w:rPr>
              <w:t xml:space="preserve">Propan-2-ol 45.0 </w:t>
            </w:r>
            <w:r>
              <w:rPr>
                <w:rFonts w:ascii="AcadNusx" w:hAnsi="AcadNusx"/>
                <w:sz w:val="16"/>
                <w:szCs w:val="16"/>
              </w:rPr>
              <w:t>g</w:t>
            </w:r>
            <w:r>
              <w:rPr>
                <w:color w:val="000000"/>
                <w:sz w:val="17"/>
                <w:szCs w:val="17"/>
              </w:rPr>
              <w:t>, propan-1-ol 30.0</w:t>
            </w:r>
            <w:r>
              <w:rPr>
                <w:rFonts w:ascii="AcadNusx" w:hAnsi="AcadNusx"/>
                <w:sz w:val="16"/>
                <w:szCs w:val="16"/>
              </w:rPr>
              <w:t xml:space="preserve"> g</w:t>
            </w:r>
            <w:r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000000"/>
                <w:sz w:val="17"/>
                <w:szCs w:val="17"/>
              </w:rPr>
              <w:t>mecetronium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etilsulfate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0.2 </w:t>
            </w:r>
            <w:r>
              <w:rPr>
                <w:rFonts w:ascii="AcadNusx" w:hAnsi="AcadNusx"/>
                <w:sz w:val="16"/>
                <w:szCs w:val="16"/>
              </w:rPr>
              <w:t>g</w:t>
            </w:r>
            <w:r>
              <w:rPr>
                <w:color w:val="000000"/>
                <w:sz w:val="17"/>
                <w:szCs w:val="17"/>
              </w:rPr>
              <w:t>.</w:t>
            </w:r>
          </w:p>
          <w:p w:rsidR="00677EB8" w:rsidRDefault="00735927" w:rsidP="00EE49AA">
            <w:pPr>
              <w:tabs>
                <w:tab w:val="left" w:pos="989"/>
              </w:tabs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sxva</w:t>
            </w:r>
            <w:proofErr w:type="spellEnd"/>
            <w:r w:rsidR="00677EB8"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 w:rsidR="00677EB8">
              <w:rPr>
                <w:rFonts w:ascii="AcadNusx" w:hAnsi="AcadNusx"/>
                <w:sz w:val="16"/>
                <w:szCs w:val="16"/>
              </w:rPr>
              <w:t>ingredientebi</w:t>
            </w:r>
            <w:proofErr w:type="spellEnd"/>
            <w:r w:rsidR="00677EB8">
              <w:rPr>
                <w:rFonts w:ascii="AcadNusx" w:hAnsi="AcadNusx"/>
                <w:sz w:val="16"/>
                <w:szCs w:val="16"/>
              </w:rPr>
              <w:t>:</w:t>
            </w:r>
          </w:p>
          <w:p w:rsidR="00677EB8" w:rsidRDefault="00B357C5" w:rsidP="00EE49AA">
            <w:pPr>
              <w:tabs>
                <w:tab w:val="left" w:pos="989"/>
              </w:tabs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Glycerol 85 %, tetradecan-1-</w:t>
            </w:r>
            <w:r>
              <w:rPr>
                <w:color w:val="000000"/>
                <w:sz w:val="16"/>
                <w:szCs w:val="16"/>
              </w:rPr>
              <w:t>ol, fragrances, patent blue V 85 %, purified water</w:t>
            </w:r>
            <w:r w:rsidR="00677EB8">
              <w:rPr>
                <w:color w:val="000000"/>
                <w:sz w:val="17"/>
                <w:szCs w:val="17"/>
              </w:rPr>
              <w:t>.</w:t>
            </w:r>
          </w:p>
          <w:p w:rsidR="00677EB8" w:rsidRDefault="00677EB8" w:rsidP="00EE49AA">
            <w:pPr>
              <w:tabs>
                <w:tab w:val="left" w:pos="989"/>
              </w:tabs>
              <w:rPr>
                <w:color w:val="000000"/>
                <w:sz w:val="17"/>
                <w:szCs w:val="17"/>
              </w:rPr>
            </w:pPr>
          </w:p>
          <w:p w:rsidR="002A446E" w:rsidRPr="002A446E" w:rsidRDefault="002A446E" w:rsidP="002A446E">
            <w:pPr>
              <w:pStyle w:val="Default"/>
              <w:rPr>
                <w:rFonts w:ascii="AcadNusx" w:hAnsi="AcadNusx"/>
                <w:sz w:val="16"/>
                <w:szCs w:val="16"/>
              </w:rPr>
            </w:pPr>
            <w:proofErr w:type="spellStart"/>
            <w:r w:rsidRPr="00CD2FB3">
              <w:rPr>
                <w:b/>
                <w:bCs/>
                <w:sz w:val="16"/>
                <w:szCs w:val="16"/>
              </w:rPr>
              <w:t>Sterillium</w:t>
            </w:r>
            <w:proofErr w:type="spellEnd"/>
            <w:r w:rsidRPr="00CD2FB3">
              <w:rPr>
                <w:b/>
                <w:bCs/>
                <w:sz w:val="16"/>
                <w:szCs w:val="16"/>
              </w:rPr>
              <w:t>®</w:t>
            </w:r>
            <w:r w:rsidRPr="00DB7A9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aris</w:t>
            </w:r>
            <w:proofErr w:type="spellEnd"/>
          </w:p>
          <w:p w:rsidR="002A446E" w:rsidRPr="002A446E" w:rsidRDefault="002A446E" w:rsidP="002A446E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-73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 w:rsidRPr="00EA0C87">
              <w:rPr>
                <w:rFonts w:ascii="AcadNusx" w:hAnsi="AcadNusx"/>
                <w:sz w:val="16"/>
                <w:szCs w:val="16"/>
              </w:rPr>
              <w:t>baqteriociduli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(</w:t>
            </w:r>
            <w:r>
              <w:rPr>
                <w:color w:val="000000"/>
                <w:sz w:val="17"/>
                <w:szCs w:val="17"/>
              </w:rPr>
              <w:t>listeria and salmonellae)</w:t>
            </w:r>
          </w:p>
          <w:p w:rsidR="002A446E" w:rsidRPr="002A446E" w:rsidRDefault="002A446E" w:rsidP="002A446E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-73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 w:rsidRPr="002A446E">
              <w:rPr>
                <w:rFonts w:ascii="AcadNusx" w:hAnsi="AcadNusx"/>
                <w:sz w:val="16"/>
                <w:szCs w:val="16"/>
              </w:rPr>
              <w:t>fungiciduli</w:t>
            </w:r>
            <w:proofErr w:type="spellEnd"/>
            <w:r w:rsidRPr="002A446E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2A446E">
              <w:rPr>
                <w:color w:val="000000"/>
                <w:sz w:val="17"/>
                <w:szCs w:val="17"/>
              </w:rPr>
              <w:t>(</w:t>
            </w:r>
            <w:r w:rsidRPr="002A446E">
              <w:rPr>
                <w:i/>
                <w:iCs/>
                <w:color w:val="000000"/>
                <w:sz w:val="17"/>
                <w:szCs w:val="17"/>
              </w:rPr>
              <w:t xml:space="preserve">Candida </w:t>
            </w:r>
            <w:proofErr w:type="spellStart"/>
            <w:r w:rsidRPr="002A446E">
              <w:rPr>
                <w:i/>
                <w:iCs/>
                <w:color w:val="000000"/>
                <w:sz w:val="17"/>
                <w:szCs w:val="17"/>
              </w:rPr>
              <w:t>albicans</w:t>
            </w:r>
            <w:proofErr w:type="spellEnd"/>
            <w:r w:rsidRPr="002A446E">
              <w:rPr>
                <w:i/>
                <w:iCs/>
                <w:color w:val="000000"/>
                <w:sz w:val="17"/>
                <w:szCs w:val="17"/>
              </w:rPr>
              <w:t xml:space="preserve">) </w:t>
            </w:r>
          </w:p>
          <w:p w:rsidR="002A446E" w:rsidRPr="002A446E" w:rsidRDefault="002A446E" w:rsidP="002A446E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-73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 w:rsidRPr="002A446E">
              <w:rPr>
                <w:rFonts w:ascii="AcadNusx" w:hAnsi="AcadNusx"/>
                <w:sz w:val="16"/>
                <w:szCs w:val="16"/>
              </w:rPr>
              <w:t>tuberkulociduri</w:t>
            </w:r>
            <w:proofErr w:type="spellEnd"/>
            <w:r w:rsidRPr="002A446E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2A446E">
              <w:rPr>
                <w:color w:val="000000"/>
                <w:sz w:val="17"/>
                <w:szCs w:val="17"/>
              </w:rPr>
              <w:t>(</w:t>
            </w:r>
            <w:r w:rsidRPr="002A446E">
              <w:rPr>
                <w:i/>
                <w:iCs/>
                <w:color w:val="000000"/>
                <w:sz w:val="17"/>
                <w:szCs w:val="17"/>
              </w:rPr>
              <w:t>Mycobacterium terrae</w:t>
            </w:r>
            <w:r w:rsidRPr="002A446E">
              <w:rPr>
                <w:color w:val="000000"/>
                <w:sz w:val="17"/>
                <w:szCs w:val="17"/>
              </w:rPr>
              <w:t xml:space="preserve">) </w:t>
            </w:r>
          </w:p>
          <w:p w:rsidR="00CD2FB3" w:rsidRPr="00CD2FB3" w:rsidRDefault="00677EB8" w:rsidP="00EE49AA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-73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 w:rsidRPr="00EA0C87">
              <w:rPr>
                <w:rFonts w:ascii="AcadNusx" w:hAnsi="AcadNusx"/>
                <w:sz w:val="16"/>
                <w:szCs w:val="16"/>
              </w:rPr>
              <w:t>viruciduli</w:t>
            </w:r>
            <w:proofErr w:type="spellEnd"/>
            <w:r w:rsidRPr="00EA0C87"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 w:rsidRPr="00EA0C87">
              <w:rPr>
                <w:rFonts w:ascii="AcadNusx" w:hAnsi="AcadNusx"/>
                <w:sz w:val="16"/>
                <w:szCs w:val="16"/>
              </w:rPr>
              <w:t>xveuli</w:t>
            </w:r>
            <w:proofErr w:type="spellEnd"/>
            <w:r w:rsidRPr="00EA0C87"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 w:rsidRPr="00EA0C87">
              <w:rPr>
                <w:rFonts w:ascii="AcadNusx" w:hAnsi="AcadNusx"/>
                <w:sz w:val="16"/>
                <w:szCs w:val="16"/>
              </w:rPr>
              <w:t>virusebisadmi</w:t>
            </w:r>
            <w:proofErr w:type="spellEnd"/>
            <w:r w:rsidRPr="00EA0C87">
              <w:rPr>
                <w:rFonts w:ascii="AcadNusx" w:hAnsi="AcadNusx"/>
                <w:sz w:val="16"/>
                <w:szCs w:val="16"/>
              </w:rPr>
              <w:t xml:space="preserve"> (</w:t>
            </w:r>
            <w:r w:rsidRPr="00EA0C87">
              <w:rPr>
                <w:rFonts w:ascii="Arial" w:hAnsi="Arial" w:cs="Arial"/>
                <w:sz w:val="16"/>
                <w:szCs w:val="16"/>
              </w:rPr>
              <w:t>HBV, HIV, HCV)</w:t>
            </w:r>
          </w:p>
          <w:p w:rsidR="00677EB8" w:rsidRPr="00CD2FB3" w:rsidRDefault="00CD2FB3" w:rsidP="00EE49AA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-73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proofErr w:type="gramStart"/>
            <w:r w:rsidRPr="00CD2FB3">
              <w:rPr>
                <w:rFonts w:ascii="AcadNusx" w:hAnsi="AcadNusx" w:cs="Arial"/>
                <w:sz w:val="16"/>
                <w:szCs w:val="16"/>
              </w:rPr>
              <w:t>garda</w:t>
            </w:r>
            <w:proofErr w:type="spellEnd"/>
            <w:proofErr w:type="gramEnd"/>
            <w:r w:rsidRPr="00CD2FB3">
              <w:rPr>
                <w:rFonts w:ascii="AcadNusx" w:hAnsi="AcadNusx" w:cs="Arial"/>
                <w:sz w:val="16"/>
                <w:szCs w:val="16"/>
              </w:rPr>
              <w:t xml:space="preserve"> </w:t>
            </w:r>
            <w:proofErr w:type="spellStart"/>
            <w:r w:rsidRPr="00CD2FB3">
              <w:rPr>
                <w:rFonts w:ascii="AcadNusx" w:hAnsi="AcadNusx" w:cs="Arial"/>
                <w:sz w:val="16"/>
                <w:szCs w:val="16"/>
              </w:rPr>
              <w:t>amisa</w:t>
            </w:r>
            <w:proofErr w:type="spellEnd"/>
            <w:r>
              <w:rPr>
                <w:rFonts w:ascii="AcadNusx" w:hAnsi="AcadNusx" w:cs="Arial"/>
                <w:sz w:val="16"/>
                <w:szCs w:val="16"/>
              </w:rPr>
              <w:t xml:space="preserve"> </w:t>
            </w:r>
            <w:proofErr w:type="spellStart"/>
            <w:r w:rsidRPr="00CD2FB3">
              <w:rPr>
                <w:b/>
                <w:bCs/>
                <w:sz w:val="16"/>
                <w:szCs w:val="16"/>
              </w:rPr>
              <w:t>Sterillium</w:t>
            </w:r>
            <w:proofErr w:type="spellEnd"/>
            <w:r w:rsidRPr="00CD2FB3">
              <w:rPr>
                <w:b/>
                <w:bCs/>
                <w:sz w:val="16"/>
                <w:szCs w:val="16"/>
              </w:rPr>
              <w:t>®</w:t>
            </w:r>
            <w:r w:rsidRPr="00DB7A9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cadNusx" w:hAnsi="AcadNusx" w:cs="Arial"/>
                <w:sz w:val="16"/>
                <w:szCs w:val="16"/>
              </w:rPr>
              <w:t>aris</w:t>
            </w:r>
            <w:proofErr w:type="spellEnd"/>
            <w:r>
              <w:rPr>
                <w:rFonts w:ascii="AcadNusx" w:hAnsi="AcadNusx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 w:cs="Arial"/>
                <w:sz w:val="16"/>
                <w:szCs w:val="16"/>
              </w:rPr>
              <w:t>aqtiuri</w:t>
            </w:r>
            <w:proofErr w:type="spellEnd"/>
            <w:r>
              <w:rPr>
                <w:rFonts w:ascii="AcadNusx" w:hAnsi="AcadNusx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 w:cs="Arial"/>
                <w:sz w:val="16"/>
                <w:szCs w:val="16"/>
              </w:rPr>
              <w:t>edemo</w:t>
            </w:r>
            <w:proofErr w:type="spellEnd"/>
            <w:r>
              <w:rPr>
                <w:rFonts w:ascii="AcadNusx" w:hAnsi="AcadNusx" w:cs="Arial"/>
                <w:sz w:val="16"/>
                <w:szCs w:val="16"/>
              </w:rPr>
              <w:t xml:space="preserve">-, </w:t>
            </w:r>
            <w:proofErr w:type="spellStart"/>
            <w:r>
              <w:rPr>
                <w:rFonts w:ascii="AcadNusx" w:hAnsi="AcadNusx" w:cs="Arial"/>
                <w:sz w:val="16"/>
                <w:szCs w:val="16"/>
              </w:rPr>
              <w:t>polioma</w:t>
            </w:r>
            <w:proofErr w:type="spellEnd"/>
            <w:r>
              <w:rPr>
                <w:rFonts w:ascii="AcadNusx" w:hAnsi="AcadNusx" w:cs="Arial"/>
                <w:sz w:val="16"/>
                <w:szCs w:val="16"/>
              </w:rPr>
              <w:t>- (</w:t>
            </w:r>
            <w:proofErr w:type="spellStart"/>
            <w:r>
              <w:rPr>
                <w:rFonts w:ascii="AcadNusx" w:hAnsi="AcadNusx" w:cs="Arial"/>
                <w:sz w:val="16"/>
                <w:szCs w:val="16"/>
              </w:rPr>
              <w:t>papovavirusi</w:t>
            </w:r>
            <w:proofErr w:type="spellEnd"/>
            <w:r>
              <w:rPr>
                <w:rFonts w:ascii="AcadNusx" w:hAnsi="AcadNusx" w:cs="Arial"/>
                <w:sz w:val="16"/>
                <w:szCs w:val="16"/>
              </w:rPr>
              <w:t xml:space="preserve">) da </w:t>
            </w:r>
            <w:proofErr w:type="spellStart"/>
            <w:r>
              <w:rPr>
                <w:rFonts w:ascii="AcadNusx" w:hAnsi="AcadNusx" w:cs="Arial"/>
                <w:sz w:val="16"/>
                <w:szCs w:val="16"/>
              </w:rPr>
              <w:t>rotavirusebis</w:t>
            </w:r>
            <w:proofErr w:type="spellEnd"/>
            <w:r>
              <w:rPr>
                <w:rFonts w:ascii="AcadNusx" w:hAnsi="AcadNusx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 w:cs="Arial"/>
                <w:sz w:val="16"/>
                <w:szCs w:val="16"/>
              </w:rPr>
              <w:t>winaaRmdeg</w:t>
            </w:r>
            <w:proofErr w:type="spellEnd"/>
            <w:r w:rsidR="00677EB8" w:rsidRPr="00CD2FB3">
              <w:rPr>
                <w:rFonts w:ascii="AcadNusx" w:hAnsi="AcadNusx"/>
                <w:sz w:val="16"/>
                <w:szCs w:val="16"/>
              </w:rPr>
              <w:t>.</w:t>
            </w:r>
          </w:p>
          <w:p w:rsidR="00677EB8" w:rsidRDefault="00677EB8" w:rsidP="00EE49AA">
            <w:pPr>
              <w:tabs>
                <w:tab w:val="left" w:pos="989"/>
              </w:tabs>
              <w:rPr>
                <w:color w:val="000000"/>
                <w:sz w:val="17"/>
                <w:szCs w:val="17"/>
              </w:rPr>
            </w:pPr>
          </w:p>
          <w:p w:rsidR="00CD2FB3" w:rsidRDefault="00CD2FB3" w:rsidP="00EE49AA">
            <w:pPr>
              <w:tabs>
                <w:tab w:val="left" w:pos="989"/>
              </w:tabs>
              <w:rPr>
                <w:rFonts w:ascii="AcadNusx" w:hAnsi="AcadNusx"/>
                <w:color w:val="000000"/>
                <w:sz w:val="16"/>
                <w:szCs w:val="16"/>
              </w:rPr>
            </w:pPr>
            <w:proofErr w:type="spellStart"/>
            <w:r w:rsidRPr="00CD2FB3">
              <w:rPr>
                <w:rFonts w:ascii="AcadNusx" w:hAnsi="AcadNusx"/>
                <w:color w:val="000000"/>
                <w:sz w:val="16"/>
                <w:szCs w:val="16"/>
              </w:rPr>
              <w:t>SeTavsebadoba</w:t>
            </w:r>
            <w:proofErr w:type="spellEnd"/>
            <w:r w:rsidRPr="00CD2FB3"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sxva</w:t>
            </w:r>
            <w:proofErr w:type="spellEnd"/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produqtebTan</w:t>
            </w:r>
            <w:proofErr w:type="spellEnd"/>
            <w:r>
              <w:rPr>
                <w:rFonts w:ascii="AcadNusx" w:hAnsi="AcadNusx"/>
                <w:color w:val="000000"/>
                <w:sz w:val="16"/>
                <w:szCs w:val="16"/>
              </w:rPr>
              <w:t>:</w:t>
            </w:r>
          </w:p>
          <w:p w:rsidR="00CE708B" w:rsidRDefault="00CD2FB3" w:rsidP="00EE49AA">
            <w:pPr>
              <w:tabs>
                <w:tab w:val="left" w:pos="989"/>
              </w:tabs>
              <w:rPr>
                <w:rFonts w:ascii="AcadNusx" w:hAnsi="AcadNusx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Baktolan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balm </w:t>
            </w:r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da </w:t>
            </w:r>
            <w:proofErr w:type="spellStart"/>
            <w:r>
              <w:rPr>
                <w:color w:val="000000"/>
                <w:sz w:val="17"/>
                <w:szCs w:val="17"/>
              </w:rPr>
              <w:t>Baktolan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lotion</w:t>
            </w:r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ar</w:t>
            </w:r>
            <w:proofErr w:type="spellEnd"/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uSlis</w:t>
            </w:r>
            <w:proofErr w:type="spellEnd"/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Sterillium</w:t>
            </w:r>
            <w:proofErr w:type="spellEnd"/>
            <w:r>
              <w:rPr>
                <w:rFonts w:ascii="AcadNusx" w:hAnsi="AcadNusx"/>
                <w:color w:val="000000"/>
                <w:sz w:val="16"/>
                <w:szCs w:val="16"/>
              </w:rPr>
              <w:t>–is</w:t>
            </w:r>
            <w:r w:rsidR="00CE708B"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E708B">
              <w:rPr>
                <w:rFonts w:ascii="AcadNusx" w:hAnsi="AcadNusx"/>
                <w:color w:val="000000"/>
                <w:sz w:val="16"/>
                <w:szCs w:val="16"/>
              </w:rPr>
              <w:t>moqmedebas</w:t>
            </w:r>
            <w:proofErr w:type="spellEnd"/>
          </w:p>
          <w:p w:rsidR="00CE708B" w:rsidRDefault="00CE708B" w:rsidP="00CE708B">
            <w:pPr>
              <w:pStyle w:val="Default"/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gamoiyeneT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higienuri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xelis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sadezinfeqcio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saSualeba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</w:p>
          <w:p w:rsidR="00CD2FB3" w:rsidRDefault="00CE708B" w:rsidP="00CE708B">
            <w:pPr>
              <w:pStyle w:val="Aufzhlung"/>
              <w:ind w:left="170" w:hanging="170"/>
              <w:rPr>
                <w:rFonts w:ascii="AcadNusx" w:hAnsi="AcadNusx"/>
                <w:color w:val="000000"/>
                <w:sz w:val="16"/>
                <w:szCs w:val="16"/>
              </w:rPr>
            </w:pPr>
            <w:r>
              <w:rPr>
                <w:color w:val="000000"/>
                <w:sz w:val="17"/>
                <w:szCs w:val="17"/>
              </w:rPr>
              <w:t xml:space="preserve">EN 1500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Tanaxmad</w:t>
            </w:r>
            <w:proofErr w:type="spellEnd"/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r w:rsidR="00CD2FB3"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7"/>
                <w:szCs w:val="17"/>
              </w:rPr>
              <w:t>Baktolan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lotion</w:t>
            </w:r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-is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gamoyenebis</w:t>
            </w:r>
            <w:proofErr w:type="spellEnd"/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Semdeg</w:t>
            </w:r>
            <w:proofErr w:type="spellEnd"/>
          </w:p>
          <w:p w:rsidR="00CE708B" w:rsidRDefault="00CE708B" w:rsidP="00CE708B">
            <w:pPr>
              <w:pStyle w:val="Default"/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gamoiyeneT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higienuri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xelis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sadezinfeqcio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saSualeba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</w:p>
          <w:p w:rsidR="00CE708B" w:rsidRDefault="00CE708B" w:rsidP="00C4334C">
            <w:pPr>
              <w:pStyle w:val="Aufzhlung"/>
              <w:rPr>
                <w:rFonts w:ascii="AcadNusx" w:hAnsi="AcadNusx"/>
                <w:color w:val="000000"/>
                <w:sz w:val="16"/>
                <w:szCs w:val="16"/>
              </w:rPr>
            </w:pPr>
            <w:r>
              <w:rPr>
                <w:color w:val="000000"/>
                <w:sz w:val="17"/>
                <w:szCs w:val="17"/>
              </w:rPr>
              <w:t xml:space="preserve">EN 1500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Tanaxmad</w:t>
            </w:r>
            <w:proofErr w:type="spellEnd"/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7"/>
                <w:szCs w:val="17"/>
              </w:rPr>
              <w:t>Baktolan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balm-</w:t>
            </w:r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gamoyenebis</w:t>
            </w:r>
            <w:proofErr w:type="spellEnd"/>
            <w:r>
              <w:rPr>
                <w:rFonts w:ascii="AcadNusx" w:hAnsi="AcadNusx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Semdeg</w:t>
            </w:r>
            <w:proofErr w:type="spellEnd"/>
          </w:p>
          <w:p w:rsidR="00C4334C" w:rsidRDefault="00C4334C" w:rsidP="00EE49AA">
            <w:pPr>
              <w:tabs>
                <w:tab w:val="left" w:pos="989"/>
              </w:tabs>
              <w:rPr>
                <w:rFonts w:ascii="AcadNusx" w:hAnsi="AcadNusx"/>
                <w:color w:val="000000"/>
                <w:sz w:val="16"/>
                <w:szCs w:val="16"/>
              </w:rPr>
            </w:pPr>
          </w:p>
          <w:p w:rsidR="00677EB8" w:rsidRDefault="00677EB8" w:rsidP="00EE49AA">
            <w:pPr>
              <w:tabs>
                <w:tab w:val="left" w:pos="989"/>
              </w:tabs>
              <w:rPr>
                <w:rFonts w:ascii="AcadNusx" w:hAnsi="AcadNusx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color w:val="000000"/>
                <w:sz w:val="16"/>
                <w:szCs w:val="16"/>
              </w:rPr>
              <w:t>g</w:t>
            </w:r>
            <w:r w:rsidRPr="00115456">
              <w:rPr>
                <w:rFonts w:ascii="AcadNusx" w:hAnsi="AcadNusx"/>
                <w:color w:val="000000"/>
                <w:sz w:val="16"/>
                <w:szCs w:val="16"/>
              </w:rPr>
              <w:t>amoyen</w:t>
            </w:r>
            <w:r>
              <w:rPr>
                <w:rFonts w:ascii="AcadNusx" w:hAnsi="AcadNusx"/>
                <w:color w:val="000000"/>
                <w:sz w:val="16"/>
                <w:szCs w:val="16"/>
              </w:rPr>
              <w:t>e</w:t>
            </w:r>
            <w:r w:rsidRPr="00115456">
              <w:rPr>
                <w:rFonts w:ascii="AcadNusx" w:hAnsi="AcadNusx"/>
                <w:color w:val="000000"/>
                <w:sz w:val="16"/>
                <w:szCs w:val="16"/>
              </w:rPr>
              <w:t>ba</w:t>
            </w:r>
            <w:proofErr w:type="spellEnd"/>
            <w:r w:rsidRPr="00115456">
              <w:rPr>
                <w:rFonts w:ascii="AcadNusx" w:hAnsi="AcadNusx"/>
                <w:color w:val="000000"/>
                <w:sz w:val="16"/>
                <w:szCs w:val="16"/>
              </w:rPr>
              <w:t>:</w:t>
            </w:r>
          </w:p>
          <w:p w:rsidR="001306B6" w:rsidRDefault="001306B6" w:rsidP="00EE49AA">
            <w:pPr>
              <w:tabs>
                <w:tab w:val="left" w:pos="989"/>
              </w:tabs>
              <w:rPr>
                <w:rFonts w:ascii="AcadNusx" w:hAnsi="AcadNusx"/>
                <w:sz w:val="16"/>
                <w:szCs w:val="16"/>
              </w:rPr>
            </w:pPr>
            <w:proofErr w:type="spellStart"/>
            <w:r w:rsidRPr="00CD2FB3">
              <w:rPr>
                <w:b/>
                <w:bCs/>
                <w:sz w:val="16"/>
                <w:szCs w:val="16"/>
              </w:rPr>
              <w:t>Sterillium</w:t>
            </w:r>
            <w:proofErr w:type="spellEnd"/>
            <w:r w:rsidRPr="00CD2FB3">
              <w:rPr>
                <w:b/>
                <w:bCs/>
                <w:sz w:val="16"/>
                <w:szCs w:val="16"/>
              </w:rPr>
              <w:t>®</w:t>
            </w:r>
            <w:r w:rsidRPr="00DB7A9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aris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gamosayeneblad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mza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alkoholis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Semcveli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wylis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xarsxisagan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damoukidebeli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produqti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romelic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axdens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infeqciis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prevencias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jandacvis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industriasa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dawesebulebebSi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agreTve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saxlis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pirobebSi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gamoiyeneba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Semdeg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adgilebSi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>:</w:t>
            </w:r>
          </w:p>
          <w:p w:rsidR="001306B6" w:rsidRDefault="001306B6" w:rsidP="00EE49AA">
            <w:pPr>
              <w:tabs>
                <w:tab w:val="left" w:pos="989"/>
              </w:tabs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higienisa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qirurgiuli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CarevisaTvis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dezinfeqciisas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>:</w:t>
            </w:r>
          </w:p>
          <w:p w:rsidR="001306B6" w:rsidRDefault="001306B6" w:rsidP="001306B6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saoperacioebSi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intensiuri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Terapiis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infeqciur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ganyofilebebSi</w:t>
            </w:r>
            <w:proofErr w:type="spellEnd"/>
          </w:p>
          <w:p w:rsidR="001306B6" w:rsidRDefault="001306B6" w:rsidP="001306B6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samkurnalo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oTaxebSi</w:t>
            </w:r>
            <w:proofErr w:type="spellEnd"/>
          </w:p>
          <w:p w:rsidR="001306B6" w:rsidRDefault="001306B6" w:rsidP="001306B6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lastRenderedPageBreak/>
              <w:t>ambulatoriebSi</w:t>
            </w:r>
            <w:proofErr w:type="spellEnd"/>
          </w:p>
          <w:p w:rsidR="001306B6" w:rsidRDefault="001306B6" w:rsidP="001306B6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laboratoriebSi</w:t>
            </w:r>
            <w:proofErr w:type="spellEnd"/>
          </w:p>
          <w:p w:rsidR="001306B6" w:rsidRDefault="002C266D" w:rsidP="001306B6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saxlSi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momsaxurebis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departamentebSi</w:t>
            </w:r>
            <w:proofErr w:type="spellEnd"/>
          </w:p>
          <w:p w:rsidR="002C266D" w:rsidRDefault="002C266D" w:rsidP="001306B6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saavadmyofoebisa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bufetebis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samzareuloebSi</w:t>
            </w:r>
            <w:proofErr w:type="spellEnd"/>
          </w:p>
          <w:p w:rsidR="002C266D" w:rsidRDefault="002C266D" w:rsidP="001306B6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saswrafo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samedicino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daxmarebaSi</w:t>
            </w:r>
            <w:proofErr w:type="spellEnd"/>
          </w:p>
          <w:p w:rsidR="002C266D" w:rsidRDefault="002C266D" w:rsidP="001306B6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yvela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saxis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samedicino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praqtikaSi</w:t>
            </w:r>
            <w:proofErr w:type="spellEnd"/>
          </w:p>
          <w:p w:rsidR="002C266D" w:rsidRDefault="002C266D" w:rsidP="001306B6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saxlSi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avadmyofis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moxucisa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bavSvis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movlisaTvis</w:t>
            </w:r>
            <w:proofErr w:type="spellEnd"/>
          </w:p>
          <w:p w:rsidR="00677EB8" w:rsidRPr="00290769" w:rsidRDefault="002C266D" w:rsidP="00EE49AA">
            <w:pPr>
              <w:pStyle w:val="Default"/>
              <w:numPr>
                <w:ilvl w:val="0"/>
                <w:numId w:val="1"/>
              </w:numPr>
              <w:tabs>
                <w:tab w:val="left" w:pos="174"/>
              </w:tabs>
              <w:ind w:left="32" w:firstLine="0"/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t>saxis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AcadNusx"/>
                <w:sz w:val="16"/>
                <w:szCs w:val="16"/>
              </w:rPr>
              <w:t>dializisaTvis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B8" w:rsidRDefault="00677EB8" w:rsidP="00EE49AA">
            <w:pPr>
              <w:rPr>
                <w:rFonts w:ascii="AcadNusx" w:hAnsi="AcadNusx"/>
                <w:sz w:val="16"/>
                <w:szCs w:val="16"/>
              </w:rPr>
            </w:pPr>
            <w:proofErr w:type="spellStart"/>
            <w:r>
              <w:rPr>
                <w:rFonts w:ascii="AcadNusx" w:hAnsi="AcadNusx"/>
                <w:sz w:val="16"/>
                <w:szCs w:val="16"/>
              </w:rPr>
              <w:lastRenderedPageBreak/>
              <w:t>dozireba</w:t>
            </w:r>
            <w:proofErr w:type="spellEnd"/>
            <w:r>
              <w:rPr>
                <w:rFonts w:ascii="AcadNusx" w:hAnsi="AcadNusx"/>
                <w:sz w:val="16"/>
                <w:szCs w:val="16"/>
              </w:rPr>
              <w:t xml:space="preserve"> </w:t>
            </w:r>
          </w:p>
          <w:p w:rsidR="00290769" w:rsidRDefault="00290769" w:rsidP="00EE49AA">
            <w:pPr>
              <w:rPr>
                <w:rFonts w:ascii="AcadNusx" w:hAnsi="AcadNusx"/>
                <w:sz w:val="16"/>
                <w:szCs w:val="16"/>
              </w:rPr>
            </w:pPr>
          </w:p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9"/>
              <w:gridCol w:w="661"/>
            </w:tblGrid>
            <w:tr w:rsidR="00290769" w:rsidTr="007D4DA5">
              <w:trPr>
                <w:trHeight w:val="118"/>
              </w:trPr>
              <w:tc>
                <w:tcPr>
                  <w:tcW w:w="0" w:type="auto"/>
                  <w:gridSpan w:val="2"/>
                  <w:shd w:val="clear" w:color="auto" w:fill="auto"/>
                </w:tcPr>
                <w:p w:rsidR="00290769" w:rsidRDefault="00290769">
                  <w:pPr>
                    <w:pStyle w:val="berschrift6"/>
                    <w:spacing w:before="60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Hygienic hand disinfection: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EN 1500 + DGHM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CopyBlocksatz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30 s </w:t>
                  </w:r>
                </w:p>
              </w:tc>
            </w:tr>
            <w:tr w:rsidR="00290769" w:rsidTr="007D4DA5">
              <w:trPr>
                <w:trHeight w:val="118"/>
              </w:trPr>
              <w:tc>
                <w:tcPr>
                  <w:tcW w:w="0" w:type="auto"/>
                  <w:gridSpan w:val="2"/>
                  <w:shd w:val="clear" w:color="auto" w:fill="auto"/>
                </w:tcPr>
                <w:p w:rsidR="00290769" w:rsidRDefault="00290769">
                  <w:pPr>
                    <w:pStyle w:val="berschrift6"/>
                    <w:spacing w:before="60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Surgical hand disinfection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EN 12791 + DGHM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1.5 min </w:t>
                  </w:r>
                </w:p>
              </w:tc>
            </w:tr>
            <w:tr w:rsidR="00290769" w:rsidTr="007D4DA5">
              <w:trPr>
                <w:trHeight w:val="118"/>
              </w:trPr>
              <w:tc>
                <w:tcPr>
                  <w:tcW w:w="0" w:type="auto"/>
                  <w:gridSpan w:val="2"/>
                  <w:shd w:val="clear" w:color="auto" w:fill="auto"/>
                </w:tcPr>
                <w:p w:rsidR="00290769" w:rsidRDefault="00290769">
                  <w:pPr>
                    <w:pStyle w:val="berschrift6"/>
                    <w:spacing w:before="60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Skin disinfection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berschrift8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Prior to injections and punctures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290769" w:rsidRDefault="00290769">
                  <w:pPr>
                    <w:pStyle w:val="Standard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15 s </w:t>
                  </w:r>
                </w:p>
              </w:tc>
            </w:tr>
            <w:tr w:rsidR="00290769" w:rsidTr="007D4DA5">
              <w:trPr>
                <w:trHeight w:val="309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CopyBlocksatz"/>
                    <w:spacing w:before="6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Prior to punctures of joints, body cavities, hollow organs and before surgical procedures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290769" w:rsidRDefault="00290769">
                  <w:pPr>
                    <w:pStyle w:val="Standard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 min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CopyBlocksatz"/>
                    <w:spacing w:before="6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Skin rich in sebaceous glands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290769" w:rsidRDefault="00290769">
                  <w:pPr>
                    <w:pStyle w:val="Standard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10 min </w:t>
                  </w:r>
                </w:p>
              </w:tc>
            </w:tr>
            <w:tr w:rsidR="00290769" w:rsidTr="007D4DA5">
              <w:trPr>
                <w:trHeight w:val="118"/>
              </w:trPr>
              <w:tc>
                <w:tcPr>
                  <w:tcW w:w="0" w:type="auto"/>
                  <w:gridSpan w:val="2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6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Bactericidal activity </w:t>
                  </w:r>
                </w:p>
              </w:tc>
            </w:tr>
            <w:tr w:rsidR="00290769" w:rsidTr="007D4DA5">
              <w:trPr>
                <w:trHeight w:val="12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FDA microorganisms</w:t>
                  </w:r>
                  <w:r>
                    <w:rPr>
                      <w:color w:val="000000"/>
                      <w:position w:val="6"/>
                      <w:sz w:val="17"/>
                      <w:szCs w:val="17"/>
                      <w:vertAlign w:val="superscript"/>
                    </w:rPr>
                    <w:t xml:space="preserve">1 </w:t>
                  </w:r>
                  <w:r>
                    <w:rPr>
                      <w:color w:val="000000"/>
                      <w:sz w:val="17"/>
                      <w:szCs w:val="17"/>
                    </w:rPr>
                    <w:t xml:space="preserve">(Time Kill Study)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30 s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MRSA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30 s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Listeria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15 s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 w:after="6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Salmonellae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15 s </w:t>
                  </w:r>
                </w:p>
              </w:tc>
            </w:tr>
            <w:tr w:rsidR="00290769" w:rsidTr="007D4DA5">
              <w:trPr>
                <w:trHeight w:val="118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290769" w:rsidRDefault="00290769">
                  <w:pPr>
                    <w:pStyle w:val="Standard"/>
                    <w:spacing w:before="60" w:after="60"/>
                    <w:rPr>
                      <w:color w:val="000000"/>
                      <w:sz w:val="17"/>
                      <w:szCs w:val="17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>Yeasticidal</w:t>
                  </w:r>
                  <w:proofErr w:type="spellEnd"/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 activity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 w:after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i/>
                      <w:iCs/>
                      <w:color w:val="000000"/>
                      <w:sz w:val="17"/>
                      <w:szCs w:val="17"/>
                    </w:rPr>
                    <w:t xml:space="preserve">C.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17"/>
                      <w:szCs w:val="17"/>
                    </w:rPr>
                    <w:t>albicans</w:t>
                  </w:r>
                  <w:proofErr w:type="spellEnd"/>
                  <w:r>
                    <w:rPr>
                      <w:i/>
                      <w:iCs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30 s </w:t>
                  </w:r>
                </w:p>
              </w:tc>
            </w:tr>
            <w:tr w:rsidR="00290769" w:rsidTr="007D4DA5">
              <w:trPr>
                <w:trHeight w:val="118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290769" w:rsidRPr="0018411D" w:rsidRDefault="00290769">
                  <w:pPr>
                    <w:pStyle w:val="Standard"/>
                    <w:spacing w:before="60" w:after="60"/>
                    <w:rPr>
                      <w:color w:val="FF0000"/>
                      <w:sz w:val="17"/>
                      <w:szCs w:val="17"/>
                    </w:rPr>
                  </w:pPr>
                  <w:proofErr w:type="spellStart"/>
                  <w:r w:rsidRPr="0018411D">
                    <w:rPr>
                      <w:b/>
                      <w:bCs/>
                      <w:color w:val="FF0000"/>
                      <w:sz w:val="17"/>
                      <w:szCs w:val="17"/>
                    </w:rPr>
                    <w:t>Tuberculocidal</w:t>
                  </w:r>
                  <w:proofErr w:type="spellEnd"/>
                  <w:r w:rsidRPr="0018411D">
                    <w:rPr>
                      <w:b/>
                      <w:bCs/>
                      <w:color w:val="FF0000"/>
                      <w:sz w:val="17"/>
                      <w:szCs w:val="17"/>
                    </w:rPr>
                    <w:t xml:space="preserve"> activity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Pr="0018411D" w:rsidRDefault="00290769">
                  <w:pPr>
                    <w:pStyle w:val="Standard"/>
                    <w:spacing w:before="20" w:after="20"/>
                    <w:jc w:val="both"/>
                    <w:rPr>
                      <w:color w:val="FF0000"/>
                      <w:sz w:val="17"/>
                      <w:szCs w:val="17"/>
                    </w:rPr>
                  </w:pPr>
                  <w:r w:rsidRPr="0018411D">
                    <w:rPr>
                      <w:i/>
                      <w:iCs/>
                      <w:color w:val="FF0000"/>
                      <w:sz w:val="17"/>
                      <w:szCs w:val="17"/>
                    </w:rPr>
                    <w:t xml:space="preserve">M. terrae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Pr="0018411D" w:rsidRDefault="00290769">
                  <w:pPr>
                    <w:pStyle w:val="Standard"/>
                    <w:spacing w:before="20"/>
                    <w:jc w:val="both"/>
                    <w:rPr>
                      <w:color w:val="FF0000"/>
                      <w:sz w:val="17"/>
                      <w:szCs w:val="17"/>
                    </w:rPr>
                  </w:pPr>
                  <w:r w:rsidRPr="0018411D">
                    <w:rPr>
                      <w:color w:val="FF0000"/>
                      <w:sz w:val="17"/>
                      <w:szCs w:val="17"/>
                    </w:rPr>
                    <w:t xml:space="preserve">15 s </w:t>
                  </w:r>
                </w:p>
              </w:tc>
            </w:tr>
            <w:tr w:rsidR="00290769" w:rsidTr="007D4DA5">
              <w:trPr>
                <w:trHeight w:val="118"/>
              </w:trPr>
              <w:tc>
                <w:tcPr>
                  <w:tcW w:w="0" w:type="auto"/>
                  <w:gridSpan w:val="2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6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Enveloped viruses </w:t>
                  </w:r>
                </w:p>
              </w:tc>
            </w:tr>
            <w:tr w:rsidR="00290769" w:rsidTr="007D4DA5">
              <w:trPr>
                <w:trHeight w:val="319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proofErr w:type="spellStart"/>
                  <w:r>
                    <w:rPr>
                      <w:color w:val="000000"/>
                      <w:sz w:val="17"/>
                      <w:szCs w:val="17"/>
                    </w:rPr>
                    <w:t>Virucidal</w:t>
                  </w:r>
                  <w:proofErr w:type="spellEnd"/>
                  <w:r>
                    <w:rPr>
                      <w:color w:val="000000"/>
                      <w:sz w:val="17"/>
                      <w:szCs w:val="17"/>
                    </w:rPr>
                    <w:t xml:space="preserve"> against enveloped viruses (incl. HBV, HIV, HCV)</w:t>
                  </w:r>
                  <w:r>
                    <w:rPr>
                      <w:color w:val="000000"/>
                      <w:position w:val="6"/>
                      <w:sz w:val="17"/>
                      <w:szCs w:val="17"/>
                      <w:vertAlign w:val="superscript"/>
                    </w:rPr>
                    <w:t>2</w:t>
                  </w:r>
                </w:p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proofErr w:type="spellStart"/>
                  <w:r>
                    <w:rPr>
                      <w:color w:val="000000"/>
                      <w:sz w:val="17"/>
                      <w:szCs w:val="17"/>
                    </w:rPr>
                    <w:t>Vacciniavirus</w:t>
                  </w:r>
                  <w:proofErr w:type="spellEnd"/>
                  <w:r>
                    <w:rPr>
                      <w:color w:val="000000"/>
                      <w:sz w:val="17"/>
                      <w:szCs w:val="17"/>
                    </w:rPr>
                    <w:t xml:space="preserve"> + BVDV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15 s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Herpes simplex virus (Type 1+2)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15 s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Avian influenza A-virus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15 s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Human influenza A-virus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15 s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SARS-</w:t>
                  </w:r>
                  <w:proofErr w:type="spellStart"/>
                  <w:r>
                    <w:rPr>
                      <w:color w:val="000000"/>
                      <w:sz w:val="17"/>
                      <w:szCs w:val="17"/>
                    </w:rPr>
                    <w:t>CoV</w:t>
                  </w:r>
                  <w:proofErr w:type="spellEnd"/>
                  <w:r>
                    <w:rPr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30 s </w:t>
                  </w:r>
                </w:p>
              </w:tc>
            </w:tr>
            <w:tr w:rsidR="00290769" w:rsidTr="007D4DA5">
              <w:trPr>
                <w:trHeight w:val="118"/>
              </w:trPr>
              <w:tc>
                <w:tcPr>
                  <w:tcW w:w="0" w:type="auto"/>
                  <w:gridSpan w:val="2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6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>Nonenveloped</w:t>
                  </w:r>
                  <w:proofErr w:type="spellEnd"/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 viruses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Adenovirus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 min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Polyomavirus (formerly </w:t>
                  </w:r>
                  <w:proofErr w:type="spellStart"/>
                  <w:r>
                    <w:rPr>
                      <w:color w:val="000000"/>
                      <w:sz w:val="17"/>
                      <w:szCs w:val="17"/>
                    </w:rPr>
                    <w:t>papovavirus</w:t>
                  </w:r>
                  <w:proofErr w:type="spellEnd"/>
                  <w:r>
                    <w:rPr>
                      <w:color w:val="000000"/>
                      <w:sz w:val="17"/>
                      <w:szCs w:val="17"/>
                    </w:rPr>
                    <w:t xml:space="preserve">)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5 min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 w:after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 xml:space="preserve">Rotavirus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290769" w:rsidRDefault="00290769">
                  <w:pPr>
                    <w:pStyle w:val="Standard"/>
                    <w:spacing w:before="20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15 s </w:t>
                  </w:r>
                </w:p>
              </w:tc>
            </w:tr>
            <w:tr w:rsidR="00290769" w:rsidTr="007D4DA5">
              <w:trPr>
                <w:trHeight w:val="313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290769" w:rsidRDefault="00290769">
                  <w:pPr>
                    <w:pStyle w:val="Standard"/>
                    <w:spacing w:before="60" w:after="60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>RKI list of disinfectants in accordance with § 18 of the Federal Law on the Prevention of Infectious Diseases in Humans (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>IfSG</w:t>
                  </w:r>
                  <w:proofErr w:type="spellEnd"/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) </w:t>
                  </w:r>
                </w:p>
              </w:tc>
            </w:tr>
            <w:tr w:rsidR="00290769" w:rsidTr="007D4DA5">
              <w:trPr>
                <w:trHeight w:val="113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290769" w:rsidRDefault="00290769">
                  <w:pPr>
                    <w:pStyle w:val="Standard"/>
                    <w:spacing w:before="60" w:after="60"/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Effect area A (bacteria and fungi) 30 s </w:t>
                  </w:r>
                </w:p>
              </w:tc>
            </w:tr>
          </w:tbl>
          <w:p w:rsidR="00677EB8" w:rsidRPr="005B211A" w:rsidRDefault="00677EB8" w:rsidP="00EE49AA">
            <w:pPr>
              <w:tabs>
                <w:tab w:val="left" w:pos="989"/>
              </w:tabs>
              <w:rPr>
                <w:rFonts w:ascii="AcadNusx" w:hAnsi="AcadNusx"/>
                <w:sz w:val="16"/>
                <w:szCs w:val="16"/>
              </w:rPr>
            </w:pPr>
          </w:p>
        </w:tc>
      </w:tr>
    </w:tbl>
    <w:p w:rsidR="00677EB8" w:rsidRPr="00B03071" w:rsidRDefault="00677EB8" w:rsidP="00677EB8">
      <w:pPr>
        <w:tabs>
          <w:tab w:val="left" w:pos="989"/>
        </w:tabs>
        <w:spacing w:after="0" w:line="240" w:lineRule="auto"/>
        <w:rPr>
          <w:rFonts w:ascii="AcadNusx" w:hAnsi="AcadNusx" w:cs="Times New Roman"/>
          <w:sz w:val="16"/>
          <w:szCs w:val="16"/>
        </w:rPr>
      </w:pPr>
    </w:p>
    <w:p w:rsidR="00F45E26" w:rsidRPr="00B03071" w:rsidRDefault="00F45E26" w:rsidP="00B03071">
      <w:pPr>
        <w:tabs>
          <w:tab w:val="left" w:pos="989"/>
        </w:tabs>
        <w:spacing w:after="0" w:line="240" w:lineRule="auto"/>
        <w:rPr>
          <w:rFonts w:ascii="AcadNusx" w:hAnsi="AcadNusx" w:cs="Times New Roman"/>
          <w:sz w:val="16"/>
          <w:szCs w:val="16"/>
        </w:rPr>
      </w:pPr>
      <w:proofErr w:type="spellStart"/>
      <w:proofErr w:type="gramStart"/>
      <w:r w:rsidRPr="00B03071">
        <w:rPr>
          <w:rFonts w:ascii="AcadNusx" w:hAnsi="AcadNusx" w:cs="Times New Roman"/>
          <w:sz w:val="16"/>
          <w:szCs w:val="16"/>
        </w:rPr>
        <w:t>publikaciebi</w:t>
      </w:r>
      <w:proofErr w:type="spellEnd"/>
      <w:proofErr w:type="gramEnd"/>
      <w:r w:rsidRPr="00B03071">
        <w:rPr>
          <w:rFonts w:ascii="AcadNusx" w:hAnsi="AcadNusx" w:cs="Times New Roman"/>
          <w:sz w:val="16"/>
          <w:szCs w:val="16"/>
        </w:rPr>
        <w:t>:</w:t>
      </w:r>
    </w:p>
    <w:p w:rsidR="00F45E26" w:rsidRPr="00B03071" w:rsidRDefault="00F45E26" w:rsidP="00B03071">
      <w:pPr>
        <w:tabs>
          <w:tab w:val="left" w:pos="989"/>
        </w:tabs>
        <w:spacing w:after="0" w:line="240" w:lineRule="auto"/>
        <w:rPr>
          <w:rFonts w:ascii="AcadNusx" w:hAnsi="AcadNusx" w:cs="Times New Roman"/>
          <w:sz w:val="16"/>
          <w:szCs w:val="16"/>
        </w:rPr>
      </w:pPr>
      <w:proofErr w:type="spellStart"/>
      <w:proofErr w:type="gramStart"/>
      <w:r w:rsidRPr="00B03071">
        <w:rPr>
          <w:rFonts w:ascii="AcadNusx" w:hAnsi="AcadNusx" w:cs="Times New Roman"/>
          <w:sz w:val="16"/>
          <w:szCs w:val="16"/>
        </w:rPr>
        <w:t>xelis</w:t>
      </w:r>
      <w:proofErr w:type="spellEnd"/>
      <w:proofErr w:type="gramEnd"/>
      <w:r w:rsidRPr="00B03071">
        <w:rPr>
          <w:rFonts w:ascii="AcadNusx" w:hAnsi="AcadNusx" w:cs="Times New Roman"/>
          <w:sz w:val="16"/>
          <w:szCs w:val="16"/>
        </w:rPr>
        <w:t xml:space="preserve"> </w:t>
      </w:r>
      <w:proofErr w:type="spellStart"/>
      <w:r w:rsidRPr="00B03071">
        <w:rPr>
          <w:rFonts w:ascii="AcadNusx" w:hAnsi="AcadNusx" w:cs="Times New Roman"/>
          <w:sz w:val="16"/>
          <w:szCs w:val="16"/>
        </w:rPr>
        <w:t>dezinfeqci</w:t>
      </w:r>
      <w:r w:rsidR="002B00C6" w:rsidRPr="00B03071">
        <w:rPr>
          <w:rFonts w:ascii="AcadNusx" w:hAnsi="AcadNusx" w:cs="Times New Roman"/>
          <w:sz w:val="16"/>
          <w:szCs w:val="16"/>
        </w:rPr>
        <w:t>a</w:t>
      </w:r>
      <w:proofErr w:type="spellEnd"/>
    </w:p>
    <w:p w:rsidR="00EF7769" w:rsidRPr="007D4DA5" w:rsidRDefault="00EF7769" w:rsidP="00B03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H.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Pietsch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>: „Hand antiseptics: rubs versus scrubs. Alcoholic solution versus alcoholic gels</w:t>
      </w:r>
      <w:proofErr w:type="gramStart"/>
      <w:r w:rsidRPr="007D4DA5">
        <w:rPr>
          <w:rFonts w:ascii="Arial" w:hAnsi="Arial" w:cs="Arial"/>
          <w:color w:val="000000"/>
          <w:sz w:val="12"/>
          <w:szCs w:val="12"/>
        </w:rPr>
        <w:t>.“</w:t>
      </w:r>
      <w:proofErr w:type="gramEnd"/>
      <w:r w:rsidRPr="007D4DA5">
        <w:rPr>
          <w:rFonts w:ascii="Arial" w:hAnsi="Arial" w:cs="Arial"/>
          <w:color w:val="000000"/>
          <w:sz w:val="12"/>
          <w:szCs w:val="12"/>
        </w:rPr>
        <w:t xml:space="preserve"> </w:t>
      </w:r>
      <w:proofErr w:type="gramStart"/>
      <w:r w:rsidRPr="007D4DA5">
        <w:rPr>
          <w:rFonts w:ascii="Arial" w:hAnsi="Arial" w:cs="Arial"/>
          <w:color w:val="000000"/>
          <w:sz w:val="12"/>
          <w:szCs w:val="12"/>
        </w:rPr>
        <w:t>Journal of Hospital Infection (2001) 48 Suppl.</w:t>
      </w:r>
      <w:proofErr w:type="gramEnd"/>
      <w:r w:rsidRPr="007D4DA5">
        <w:rPr>
          <w:rFonts w:ascii="Arial" w:hAnsi="Arial" w:cs="Arial"/>
          <w:color w:val="000000"/>
          <w:sz w:val="12"/>
          <w:szCs w:val="12"/>
        </w:rPr>
        <w:t xml:space="preserve"> A: S33-S36. </w:t>
      </w:r>
    </w:p>
    <w:p w:rsidR="00EF7769" w:rsidRPr="007D4DA5" w:rsidRDefault="00EF7769" w:rsidP="00B03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A. Kramer, P. Rudolph,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D.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Pittet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. Limited efficacy of alcohol-based hand gels. The Lancet (2002) 359: 1489-1490. </w:t>
      </w:r>
    </w:p>
    <w:p w:rsidR="00EF7769" w:rsidRPr="007D4DA5" w:rsidRDefault="00EF7769" w:rsidP="00B03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B. Meyer, P.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Goroncy-Bermes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. Comparison of two test methods for the determination of sufficient antimicrobial efficacy of three different alcohol-based hand rubs for hygienic hand disinfection. Journal of Hospital Infection (2003) 55: 220-225. </w:t>
      </w:r>
    </w:p>
    <w:p w:rsidR="002B00C6" w:rsidRPr="007D4DA5" w:rsidRDefault="002B00C6" w:rsidP="00B03071">
      <w:pPr>
        <w:tabs>
          <w:tab w:val="left" w:pos="989"/>
        </w:tabs>
        <w:spacing w:after="0" w:line="240" w:lineRule="auto"/>
        <w:rPr>
          <w:rFonts w:ascii="AcadNusx" w:hAnsi="AcadNusx" w:cs="Times New Roman"/>
          <w:sz w:val="12"/>
          <w:szCs w:val="12"/>
        </w:rPr>
      </w:pPr>
      <w:proofErr w:type="spellStart"/>
      <w:proofErr w:type="gramStart"/>
      <w:r w:rsidRPr="007D4DA5">
        <w:rPr>
          <w:rFonts w:ascii="AcadNusx" w:hAnsi="AcadNusx" w:cs="Times New Roman"/>
          <w:sz w:val="12"/>
          <w:szCs w:val="12"/>
        </w:rPr>
        <w:t>xelis</w:t>
      </w:r>
      <w:proofErr w:type="spellEnd"/>
      <w:proofErr w:type="gramEnd"/>
      <w:r w:rsidRPr="007D4DA5">
        <w:rPr>
          <w:rFonts w:ascii="AcadNusx" w:hAnsi="AcadNusx" w:cs="Times New Roman"/>
          <w:sz w:val="12"/>
          <w:szCs w:val="12"/>
        </w:rPr>
        <w:t xml:space="preserve"> </w:t>
      </w:r>
      <w:proofErr w:type="spellStart"/>
      <w:r w:rsidRPr="007D4DA5">
        <w:rPr>
          <w:rFonts w:ascii="AcadNusx" w:hAnsi="AcadNusx" w:cs="Times New Roman"/>
          <w:sz w:val="12"/>
          <w:szCs w:val="12"/>
        </w:rPr>
        <w:t>dezinfeqcia</w:t>
      </w:r>
      <w:proofErr w:type="spellEnd"/>
      <w:r w:rsidRPr="007D4DA5">
        <w:rPr>
          <w:rFonts w:ascii="AcadNusx" w:hAnsi="AcadNusx" w:cs="Times New Roman"/>
          <w:sz w:val="12"/>
          <w:szCs w:val="12"/>
        </w:rPr>
        <w:t xml:space="preserve"> </w:t>
      </w:r>
      <w:proofErr w:type="spellStart"/>
      <w:r w:rsidRPr="007D4DA5">
        <w:rPr>
          <w:rFonts w:ascii="AcadNusx" w:hAnsi="AcadNusx" w:cs="Times New Roman"/>
          <w:sz w:val="12"/>
          <w:szCs w:val="12"/>
        </w:rPr>
        <w:t>qirurgiuli</w:t>
      </w:r>
      <w:proofErr w:type="spellEnd"/>
      <w:r w:rsidRPr="007D4DA5">
        <w:rPr>
          <w:rFonts w:ascii="AcadNusx" w:hAnsi="AcadNusx" w:cs="Times New Roman"/>
          <w:sz w:val="12"/>
          <w:szCs w:val="12"/>
        </w:rPr>
        <w:t xml:space="preserve"> </w:t>
      </w:r>
      <w:proofErr w:type="spellStart"/>
      <w:r w:rsidRPr="007D4DA5">
        <w:rPr>
          <w:rFonts w:ascii="AcadNusx" w:hAnsi="AcadNusx" w:cs="Times New Roman"/>
          <w:sz w:val="12"/>
          <w:szCs w:val="12"/>
        </w:rPr>
        <w:t>CarevisaTvis</w:t>
      </w:r>
      <w:proofErr w:type="spellEnd"/>
    </w:p>
    <w:p w:rsidR="002B00C6" w:rsidRPr="007D4DA5" w:rsidRDefault="002B00C6" w:rsidP="00B03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Symbol" w:hAnsi="Symbol" w:cs="Symbol"/>
          <w:color w:val="000000"/>
          <w:sz w:val="12"/>
          <w:szCs w:val="12"/>
        </w:rPr>
        <w:t></w:t>
      </w:r>
      <w:r w:rsidRPr="007D4DA5">
        <w:rPr>
          <w:rFonts w:ascii="Arial" w:hAnsi="Arial" w:cs="Arial"/>
          <w:color w:val="000000"/>
          <w:sz w:val="12"/>
          <w:szCs w:val="12"/>
        </w:rPr>
        <w:t xml:space="preserve">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C.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Ostermeyer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P.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Heeg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: „Surgical hand disinfection with a propanol- based hand rub: equivalence of shorter application times.” Journal of Hospital Infection (2005) 59: 304–310. </w:t>
      </w:r>
    </w:p>
    <w:p w:rsidR="002B00C6" w:rsidRPr="007D4DA5" w:rsidRDefault="002B00C6" w:rsidP="00B03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C.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Ostermeyer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P.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Heeg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gramStart"/>
      <w:r w:rsidRPr="007D4DA5">
        <w:rPr>
          <w:rFonts w:ascii="Arial" w:hAnsi="Arial" w:cs="Arial"/>
          <w:color w:val="000000"/>
          <w:sz w:val="12"/>
          <w:szCs w:val="12"/>
        </w:rPr>
        <w:t>D</w:t>
      </w:r>
      <w:proofErr w:type="gramEnd"/>
      <w:r w:rsidRPr="007D4DA5">
        <w:rPr>
          <w:rFonts w:ascii="Arial" w:hAnsi="Arial" w:cs="Arial"/>
          <w:color w:val="000000"/>
          <w:sz w:val="12"/>
          <w:szCs w:val="12"/>
        </w:rPr>
        <w:t xml:space="preserve">. Paulson: “Evaluation of two methods of determining the efficacies of two alcohol-based hand rubs for surgical hand antisepsis.” Applied and Environmental Microbiology (2006) 72: 3856–3861. </w:t>
      </w:r>
    </w:p>
    <w:p w:rsidR="002B00C6" w:rsidRPr="007D4DA5" w:rsidRDefault="002B00C6" w:rsidP="00B03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M.L. Rotter,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M.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Suchomel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M.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Kundi</w:t>
      </w:r>
      <w:proofErr w:type="spellEnd"/>
      <w:proofErr w:type="gramStart"/>
      <w:r w:rsidRPr="007D4DA5">
        <w:rPr>
          <w:rFonts w:ascii="Arial" w:hAnsi="Arial" w:cs="Arial"/>
          <w:color w:val="000000"/>
          <w:sz w:val="12"/>
          <w:szCs w:val="12"/>
        </w:rPr>
        <w:t>: ”</w:t>
      </w:r>
      <w:proofErr w:type="gramEnd"/>
      <w:r w:rsidRPr="007D4DA5">
        <w:rPr>
          <w:rFonts w:ascii="Arial" w:hAnsi="Arial" w:cs="Arial"/>
          <w:color w:val="000000"/>
          <w:sz w:val="12"/>
          <w:szCs w:val="12"/>
        </w:rPr>
        <w:t xml:space="preserve">Long-term effect of a 1.5 minute surgical hand rub with a propanol-based product on the resident hand flora.” Journal of Hospital Infection (2007) 66: 84-85. </w:t>
      </w:r>
    </w:p>
    <w:p w:rsidR="002B00C6" w:rsidRPr="007D4DA5" w:rsidRDefault="002B00C6" w:rsidP="00B03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M.G.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Marchetti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Finzi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Salvatorelli</w:t>
      </w:r>
      <w:proofErr w:type="spellEnd"/>
      <w:proofErr w:type="gramStart"/>
      <w:r w:rsidRPr="007D4DA5">
        <w:rPr>
          <w:rFonts w:ascii="Arial" w:hAnsi="Arial" w:cs="Arial"/>
          <w:color w:val="000000"/>
          <w:sz w:val="12"/>
          <w:szCs w:val="12"/>
        </w:rPr>
        <w:t>: ”</w:t>
      </w:r>
      <w:proofErr w:type="gramEnd"/>
      <w:r w:rsidRPr="007D4DA5">
        <w:rPr>
          <w:rFonts w:ascii="Arial" w:hAnsi="Arial" w:cs="Arial"/>
          <w:color w:val="000000"/>
          <w:sz w:val="12"/>
          <w:szCs w:val="12"/>
        </w:rPr>
        <w:t xml:space="preserve">Evaluation of the bactericidal effect of five products for surgical hand disinfection according to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prEN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12054 and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prEN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12791.” Journal of Hospital Infection (2003) 54: 63–67. </w:t>
      </w:r>
    </w:p>
    <w:p w:rsidR="002B00C6" w:rsidRPr="007D4DA5" w:rsidRDefault="002B00C6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N.-O.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Hübner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P. Kamp, T.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Kohlmann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A. Kramer. Does a preceding hand wash and drying time after surgical hand disinfection influence the efficacy of a propanol-based hand rub? BMC Microbiology (2006) 6: 57. </w:t>
      </w:r>
    </w:p>
    <w:p w:rsidR="002B00C6" w:rsidRPr="007D4DA5" w:rsidRDefault="002B00C6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C.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Ostermeyer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T.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Kohlmann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gramStart"/>
      <w:r w:rsidRPr="007D4DA5">
        <w:rPr>
          <w:rFonts w:ascii="Arial" w:hAnsi="Arial" w:cs="Arial"/>
          <w:color w:val="000000"/>
          <w:sz w:val="12"/>
          <w:szCs w:val="12"/>
        </w:rPr>
        <w:t>Bacterial population kinetics on hands during 2 consecutive surgical hand disinfection procedures.</w:t>
      </w:r>
      <w:proofErr w:type="gramEnd"/>
      <w:r w:rsidRPr="007D4DA5">
        <w:rPr>
          <w:rFonts w:ascii="Arial" w:hAnsi="Arial" w:cs="Arial"/>
          <w:color w:val="000000"/>
          <w:sz w:val="12"/>
          <w:szCs w:val="12"/>
        </w:rPr>
        <w:t xml:space="preserve"> American Journal of Infection Control (2008) 36: 369-374. </w:t>
      </w:r>
    </w:p>
    <w:p w:rsidR="002B00C6" w:rsidRPr="007D4DA5" w:rsidRDefault="002B00C6" w:rsidP="00264B35">
      <w:pPr>
        <w:spacing w:after="0" w:line="240" w:lineRule="auto"/>
        <w:rPr>
          <w:rFonts w:ascii="AcadNusx" w:hAnsi="AcadNusx" w:cs="Times New Roman"/>
          <w:sz w:val="12"/>
          <w:szCs w:val="12"/>
        </w:rPr>
      </w:pPr>
      <w:proofErr w:type="spellStart"/>
      <w:proofErr w:type="gramStart"/>
      <w:r w:rsidRPr="007D4DA5">
        <w:rPr>
          <w:rFonts w:ascii="AcadNusx" w:hAnsi="AcadNusx" w:cs="Times New Roman"/>
          <w:sz w:val="12"/>
          <w:szCs w:val="12"/>
        </w:rPr>
        <w:t>mikrobiologiuri</w:t>
      </w:r>
      <w:proofErr w:type="spellEnd"/>
      <w:proofErr w:type="gramEnd"/>
      <w:r w:rsidRPr="007D4DA5">
        <w:rPr>
          <w:rFonts w:ascii="AcadNusx" w:hAnsi="AcadNusx" w:cs="Times New Roman"/>
          <w:sz w:val="12"/>
          <w:szCs w:val="12"/>
        </w:rPr>
        <w:t xml:space="preserve"> </w:t>
      </w:r>
      <w:proofErr w:type="spellStart"/>
      <w:r w:rsidRPr="007D4DA5">
        <w:rPr>
          <w:rFonts w:ascii="AcadNusx" w:hAnsi="AcadNusx" w:cs="Times New Roman"/>
          <w:sz w:val="12"/>
          <w:szCs w:val="12"/>
        </w:rPr>
        <w:t>moqmedeba</w:t>
      </w:r>
      <w:proofErr w:type="spellEnd"/>
    </w:p>
    <w:p w:rsidR="002B00C6" w:rsidRPr="007D4DA5" w:rsidRDefault="002B00C6" w:rsidP="00264B35">
      <w:pP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Symbol" w:hAnsi="Symbol" w:cs="Symbol"/>
          <w:color w:val="000000"/>
          <w:sz w:val="12"/>
          <w:szCs w:val="12"/>
        </w:rPr>
        <w:t></w:t>
      </w:r>
      <w:r w:rsidRPr="007D4DA5">
        <w:rPr>
          <w:rFonts w:ascii="Arial" w:hAnsi="Arial" w:cs="Arial"/>
          <w:color w:val="000000"/>
          <w:sz w:val="12"/>
          <w:szCs w:val="12"/>
        </w:rPr>
        <w:t xml:space="preserve">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R.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Jarosch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H.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Rüden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Wirksamkeit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alkoholischer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Händedesinfektionsmittel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gegenüber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Methicillin-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resistenten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Staphylococcus aureus (MRSA). Der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Chirurg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(1997) 68: 264-270. </w:t>
      </w:r>
    </w:p>
    <w:p w:rsidR="002B00C6" w:rsidRPr="007D4DA5" w:rsidRDefault="002B00C6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M.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Höfer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C. Wendt. Efficacy of hand disinfectants against vancomycin-resistant enterococci in vitro. Journal of Hospital Infection (1999) 42: 143-150. </w:t>
      </w:r>
    </w:p>
    <w:p w:rsidR="00B03071" w:rsidRPr="007D4DA5" w:rsidRDefault="00B03071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>, A. Hollingsworth: „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Vality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of the four European test trains of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prEN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12054 for the determination of comprehensive bactericidal activity of an alcohol-based hand rub.” Journal of Hospital Infection (2003) 55: 226-231. </w:t>
      </w:r>
    </w:p>
    <w:p w:rsidR="00B03071" w:rsidRPr="007D4DA5" w:rsidRDefault="00B03071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E.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Martró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A. Hernández, J.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Ariza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M.A.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Domı´nguez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L.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Matas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M.J.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Argerich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R. Martin, V.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Ausina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:” Assessment of </w:t>
      </w:r>
      <w:r w:rsidRPr="007D4DA5">
        <w:rPr>
          <w:rFonts w:ascii="Arial" w:hAnsi="Arial" w:cs="Arial"/>
          <w:i/>
          <w:iCs/>
          <w:color w:val="000000"/>
          <w:sz w:val="12"/>
          <w:szCs w:val="12"/>
        </w:rPr>
        <w:t xml:space="preserve">Acinetobacter </w:t>
      </w:r>
      <w:proofErr w:type="spellStart"/>
      <w:r w:rsidRPr="007D4DA5">
        <w:rPr>
          <w:rFonts w:ascii="Arial" w:hAnsi="Arial" w:cs="Arial"/>
          <w:i/>
          <w:iCs/>
          <w:color w:val="000000"/>
          <w:sz w:val="12"/>
          <w:szCs w:val="12"/>
        </w:rPr>
        <w:t>baumannii</w:t>
      </w:r>
      <w:proofErr w:type="spellEnd"/>
      <w:r w:rsidRPr="007D4DA5">
        <w:rPr>
          <w:rFonts w:ascii="Arial" w:hAnsi="Arial" w:cs="Arial"/>
          <w:i/>
          <w:iCs/>
          <w:color w:val="000000"/>
          <w:sz w:val="12"/>
          <w:szCs w:val="12"/>
        </w:rPr>
        <w:t xml:space="preserve"> </w:t>
      </w:r>
      <w:r w:rsidRPr="007D4DA5">
        <w:rPr>
          <w:rFonts w:ascii="Arial" w:hAnsi="Arial" w:cs="Arial"/>
          <w:color w:val="000000"/>
          <w:sz w:val="12"/>
          <w:szCs w:val="12"/>
        </w:rPr>
        <w:t xml:space="preserve">susceptibility to antiseptics and disinfectants.” Journal of Hospital Infection (2003) 55: 39–46. </w:t>
      </w:r>
    </w:p>
    <w:p w:rsidR="00B03071" w:rsidRPr="007D4DA5" w:rsidRDefault="00B03071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H.F.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Rabenau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J.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Cinatl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H.W.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Doerr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: “Efficacy of various disinfectants against SARS coronavirus.” Journal of Hospital Infection (2005) 61: 107–111. </w:t>
      </w:r>
    </w:p>
    <w:p w:rsidR="008F03E6" w:rsidRPr="007D4DA5" w:rsidRDefault="00B03071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J. Steinmann, H.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Rabenau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C.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Payan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. Suitability of vaccinia virus and bovine viral diarrhea virus (BVDV) for determining activities of three commonly-used alcohol-based </w:t>
      </w:r>
      <w:proofErr w:type="gramStart"/>
      <w:r w:rsidRPr="007D4DA5">
        <w:rPr>
          <w:rFonts w:ascii="Arial" w:hAnsi="Arial" w:cs="Arial"/>
          <w:color w:val="000000"/>
          <w:sz w:val="12"/>
          <w:szCs w:val="12"/>
        </w:rPr>
        <w:t>hand</w:t>
      </w:r>
      <w:proofErr w:type="gramEnd"/>
      <w:r w:rsidRPr="007D4DA5">
        <w:rPr>
          <w:rFonts w:ascii="Arial" w:hAnsi="Arial" w:cs="Arial"/>
          <w:color w:val="000000"/>
          <w:sz w:val="12"/>
          <w:szCs w:val="12"/>
        </w:rPr>
        <w:t xml:space="preserve"> rubs against enveloped viruses. BMC Infectious Diseases (2007) 7: 5.</w:t>
      </w:r>
    </w:p>
    <w:p w:rsidR="00264B35" w:rsidRPr="007D4DA5" w:rsidRDefault="008F03E6" w:rsidP="00264B35">
      <w:pPr>
        <w:spacing w:after="0" w:line="240" w:lineRule="auto"/>
        <w:rPr>
          <w:rFonts w:ascii="Symbol" w:hAnsi="Symbol" w:cs="Symbol"/>
          <w:color w:val="000000"/>
          <w:sz w:val="12"/>
          <w:szCs w:val="12"/>
        </w:rPr>
      </w:pPr>
      <w:proofErr w:type="spellStart"/>
      <w:proofErr w:type="gramStart"/>
      <w:r w:rsidRPr="007D4DA5">
        <w:rPr>
          <w:rFonts w:ascii="AcadNusx" w:hAnsi="AcadNusx" w:cs="Times New Roman"/>
          <w:sz w:val="12"/>
          <w:szCs w:val="12"/>
        </w:rPr>
        <w:t>kanis</w:t>
      </w:r>
      <w:proofErr w:type="spellEnd"/>
      <w:proofErr w:type="gramEnd"/>
      <w:r w:rsidRPr="007D4DA5">
        <w:rPr>
          <w:rFonts w:ascii="AcadNusx" w:hAnsi="AcadNusx" w:cs="Times New Roman"/>
          <w:sz w:val="12"/>
          <w:szCs w:val="12"/>
        </w:rPr>
        <w:t xml:space="preserve"> </w:t>
      </w:r>
      <w:proofErr w:type="spellStart"/>
      <w:r w:rsidRPr="007D4DA5">
        <w:rPr>
          <w:rFonts w:ascii="AcadNusx" w:hAnsi="AcadNusx" w:cs="Times New Roman"/>
          <w:sz w:val="12"/>
          <w:szCs w:val="12"/>
        </w:rPr>
        <w:t>tolerantuloba</w:t>
      </w:r>
      <w:proofErr w:type="spellEnd"/>
    </w:p>
    <w:p w:rsidR="00264B35" w:rsidRPr="007D4DA5" w:rsidRDefault="00264B35" w:rsidP="00264B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Sauermann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O.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Proske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R.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Keyhani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M.-C.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Leneveu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H.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Pietsch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B. Rohde. Skin tolerance of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Sterillium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and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Hibiscrub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: A comparative clinical trial. Hygiene +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Medizin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(1995) 20: 184-189. </w:t>
      </w:r>
    </w:p>
    <w:p w:rsidR="00264B35" w:rsidRPr="007D4DA5" w:rsidRDefault="00264B35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M.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Muscatiello</w:t>
      </w:r>
      <w:proofErr w:type="spellEnd"/>
      <w:proofErr w:type="gramStart"/>
      <w:r w:rsidRPr="007D4DA5">
        <w:rPr>
          <w:rFonts w:ascii="Arial" w:hAnsi="Arial" w:cs="Arial"/>
          <w:color w:val="000000"/>
          <w:sz w:val="12"/>
          <w:szCs w:val="12"/>
        </w:rPr>
        <w:t>: ”</w:t>
      </w:r>
      <w:proofErr w:type="gramEnd"/>
      <w:r w:rsidRPr="007D4DA5">
        <w:rPr>
          <w:rFonts w:ascii="Arial" w:hAnsi="Arial" w:cs="Arial"/>
          <w:color w:val="000000"/>
          <w:sz w:val="12"/>
          <w:szCs w:val="12"/>
        </w:rPr>
        <w:t xml:space="preserve">Dermal tolerance of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Sterillium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a propanol-based hand rub.” Journal of Hospital Infection (2003) 55: 295–298. </w:t>
      </w:r>
    </w:p>
    <w:p w:rsidR="00264B35" w:rsidRPr="007D4DA5" w:rsidRDefault="00264B35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W.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Wigger-Alberti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K.-P. Wilhelm. Do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atopics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tolerate alcohol-based hand rubs? A prospective, controlled, randomized double-blind clinical trial.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Acta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Dermato-Venereologica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 (2006) 86: 140-143. </w:t>
      </w:r>
    </w:p>
    <w:p w:rsidR="00264B35" w:rsidRPr="007D4DA5" w:rsidRDefault="00264B35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R. Girard, E.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Bousquet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E.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Carré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et al. Tolerance and acceptability of 14 surgical and hygienic alcohol-based hand rubs. Journal of Hospital Infection (2006) 63: 281-288. </w:t>
      </w:r>
    </w:p>
    <w:p w:rsidR="00264B35" w:rsidRPr="007D4DA5" w:rsidRDefault="00264B35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F.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Barbut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E. Maury, L.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Goldwirt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et al. Comparison of the antibacterial efficacy and acceptability of an alcohol-based hand rinse with two alcohol-based hand gels during routine patient care. Journal of Hospital Infection (2007) 66: 167-173. </w:t>
      </w:r>
    </w:p>
    <w:p w:rsidR="00264B35" w:rsidRPr="007D4DA5" w:rsidRDefault="00264B35" w:rsidP="00264B35">
      <w:pPr>
        <w:spacing w:after="0" w:line="240" w:lineRule="auto"/>
        <w:rPr>
          <w:rFonts w:ascii="AcadNusx" w:hAnsi="AcadNusx" w:cs="Times New Roman"/>
          <w:sz w:val="12"/>
          <w:szCs w:val="12"/>
        </w:rPr>
      </w:pPr>
      <w:proofErr w:type="spellStart"/>
      <w:proofErr w:type="gramStart"/>
      <w:r w:rsidRPr="007D4DA5">
        <w:rPr>
          <w:rFonts w:ascii="AcadNusx" w:hAnsi="AcadNusx" w:cs="Times New Roman"/>
          <w:sz w:val="12"/>
          <w:szCs w:val="12"/>
        </w:rPr>
        <w:t>sxva</w:t>
      </w:r>
      <w:proofErr w:type="spellEnd"/>
      <w:proofErr w:type="gramEnd"/>
    </w:p>
    <w:p w:rsidR="00264B35" w:rsidRPr="007D4DA5" w:rsidRDefault="00264B35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C. McDonald, C.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Ostermeyer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. Bacterial in-use contamination of an alcohol-based hand rub under accelerated test conditions. Journal of Hospital Infection (2005) 59: 271-272. </w:t>
      </w:r>
    </w:p>
    <w:p w:rsidR="00264B35" w:rsidRPr="00264B35" w:rsidRDefault="00264B35" w:rsidP="00264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D4DA5">
        <w:rPr>
          <w:rFonts w:ascii="Arial" w:hAnsi="Arial" w:cs="Arial"/>
          <w:color w:val="000000"/>
          <w:sz w:val="12"/>
          <w:szCs w:val="12"/>
        </w:rPr>
        <w:t xml:space="preserve">• G.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Kampf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M.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Reichel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Y.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Feil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S.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Eggerstedt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 xml:space="preserve">, P.-M. </w:t>
      </w:r>
      <w:proofErr w:type="spellStart"/>
      <w:r w:rsidRPr="007D4DA5">
        <w:rPr>
          <w:rFonts w:ascii="Arial" w:hAnsi="Arial" w:cs="Arial"/>
          <w:color w:val="000000"/>
          <w:sz w:val="12"/>
          <w:szCs w:val="12"/>
        </w:rPr>
        <w:t>Kaulfers</w:t>
      </w:r>
      <w:proofErr w:type="spellEnd"/>
      <w:r w:rsidRPr="007D4DA5">
        <w:rPr>
          <w:rFonts w:ascii="Arial" w:hAnsi="Arial" w:cs="Arial"/>
          <w:color w:val="000000"/>
          <w:sz w:val="12"/>
          <w:szCs w:val="12"/>
        </w:rPr>
        <w:t>. Influence of rub-in technique on required application time and hand coverage in hygienic hand disinfection. BMC Infectious Diseases (2008) 8: 149</w:t>
      </w:r>
      <w:r w:rsidRPr="00264B35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264B35" w:rsidRDefault="00AF54D7" w:rsidP="00264B35">
      <w:pPr>
        <w:spacing w:after="0" w:line="240" w:lineRule="auto"/>
        <w:rPr>
          <w:rFonts w:ascii="AcadNusx" w:hAnsi="AcadNusx" w:cs="Times New Roman"/>
          <w:sz w:val="16"/>
          <w:szCs w:val="16"/>
        </w:rPr>
      </w:pPr>
      <w:proofErr w:type="spellStart"/>
      <w:r>
        <w:rPr>
          <w:rFonts w:ascii="AcadNusx" w:hAnsi="AcadNusx" w:cs="Times New Roman"/>
          <w:sz w:val="16"/>
          <w:szCs w:val="16"/>
        </w:rPr>
        <w:t>CamonaTvali</w:t>
      </w:r>
      <w:proofErr w:type="spellEnd"/>
    </w:p>
    <w:p w:rsidR="00AF54D7" w:rsidRDefault="00AF54D7" w:rsidP="00AF54D7">
      <w:pPr>
        <w:pStyle w:val="Aufzhlung"/>
        <w:ind w:left="170" w:hanging="17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List of the Robert Koch-Institute (RKI), Effect area A </w:t>
      </w:r>
    </w:p>
    <w:p w:rsidR="00AF54D7" w:rsidRDefault="00AF54D7" w:rsidP="00AF54D7">
      <w:pPr>
        <w:pStyle w:val="Aufzhlung"/>
        <w:ind w:left="170" w:hanging="17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List of disinfectants of the Association for Applied Hygiene (former DGHM list) </w:t>
      </w:r>
    </w:p>
    <w:p w:rsidR="00BA6D88" w:rsidRDefault="00BA6D88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  <w:proofErr w:type="spellStart"/>
      <w:proofErr w:type="gramStart"/>
      <w:r>
        <w:rPr>
          <w:rFonts w:ascii="AcadNusx" w:hAnsi="AcadNusx"/>
          <w:sz w:val="16"/>
          <w:szCs w:val="16"/>
        </w:rPr>
        <w:t>qimiur-fizikuri</w:t>
      </w:r>
      <w:proofErr w:type="spellEnd"/>
      <w:proofErr w:type="gram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monacemebi</w:t>
      </w:r>
      <w:proofErr w:type="spellEnd"/>
      <w:r>
        <w:rPr>
          <w:rFonts w:ascii="AcadNusx" w:hAnsi="AcadNusx"/>
          <w:sz w:val="16"/>
          <w:szCs w:val="16"/>
        </w:rPr>
        <w:t>:</w:t>
      </w:r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  <w:proofErr w:type="gramStart"/>
      <w:r>
        <w:rPr>
          <w:rFonts w:ascii="AcadNusx" w:hAnsi="AcadNusx"/>
          <w:sz w:val="16"/>
          <w:szCs w:val="16"/>
        </w:rPr>
        <w:t>forma</w:t>
      </w:r>
      <w:proofErr w:type="gramEnd"/>
      <w:r>
        <w:rPr>
          <w:rFonts w:ascii="AcadNusx" w:hAnsi="AcadNusx"/>
          <w:sz w:val="16"/>
          <w:szCs w:val="16"/>
        </w:rPr>
        <w:t xml:space="preserve">: </w:t>
      </w:r>
      <w:proofErr w:type="spellStart"/>
      <w:r>
        <w:rPr>
          <w:rFonts w:ascii="AcadNusx" w:hAnsi="AcadNusx"/>
          <w:sz w:val="16"/>
          <w:szCs w:val="16"/>
        </w:rPr>
        <w:t>tranfarenti</w:t>
      </w:r>
      <w:proofErr w:type="spellEnd"/>
      <w:r>
        <w:rPr>
          <w:rFonts w:ascii="AcadNusx" w:hAnsi="AcadNusx"/>
          <w:sz w:val="16"/>
          <w:szCs w:val="16"/>
        </w:rPr>
        <w:t xml:space="preserve">, </w:t>
      </w:r>
      <w:r w:rsidR="00BA6D88">
        <w:rPr>
          <w:rFonts w:ascii="AcadNusx" w:hAnsi="AcadNusx"/>
          <w:sz w:val="16"/>
          <w:szCs w:val="16"/>
        </w:rPr>
        <w:t xml:space="preserve">Ria </w:t>
      </w:r>
      <w:proofErr w:type="spellStart"/>
      <w:r w:rsidR="00BA6D88">
        <w:rPr>
          <w:rFonts w:ascii="AcadNusx" w:hAnsi="AcadNusx"/>
          <w:sz w:val="16"/>
          <w:szCs w:val="16"/>
        </w:rPr>
        <w:t>lurji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 w:cs="Times New Roman"/>
          <w:sz w:val="16"/>
          <w:szCs w:val="16"/>
        </w:rPr>
      </w:pPr>
      <w:proofErr w:type="spellStart"/>
      <w:proofErr w:type="gramStart"/>
      <w:r>
        <w:rPr>
          <w:rFonts w:ascii="AcadNusx" w:hAnsi="AcadNusx" w:cs="Times New Roman"/>
          <w:sz w:val="16"/>
          <w:szCs w:val="16"/>
        </w:rPr>
        <w:t>simvrive</w:t>
      </w:r>
      <w:proofErr w:type="spellEnd"/>
      <w:proofErr w:type="gramEnd"/>
      <w:r>
        <w:rPr>
          <w:rFonts w:ascii="AcadNusx" w:hAnsi="AcadNusx" w:cs="Times New Roman"/>
          <w:sz w:val="16"/>
          <w:szCs w:val="16"/>
        </w:rPr>
        <w:t xml:space="preserve"> (20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0</w:t>
      </w:r>
      <w:r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AcadNusx" w:hAnsi="AcadNusx" w:cs="Times New Roman"/>
          <w:sz w:val="16"/>
          <w:szCs w:val="16"/>
        </w:rPr>
        <w:t xml:space="preserve">) </w:t>
      </w:r>
      <w:proofErr w:type="spellStart"/>
      <w:r>
        <w:rPr>
          <w:rFonts w:ascii="AcadNusx" w:hAnsi="AcadNusx" w:cs="Times New Roman"/>
          <w:sz w:val="16"/>
          <w:szCs w:val="16"/>
        </w:rPr>
        <w:t>daaxl</w:t>
      </w:r>
      <w:proofErr w:type="spellEnd"/>
      <w:r>
        <w:rPr>
          <w:rFonts w:ascii="AcadNusx" w:hAnsi="AcadNusx" w:cs="Times New Roman"/>
          <w:sz w:val="16"/>
          <w:szCs w:val="16"/>
        </w:rPr>
        <w:t>. 0.</w:t>
      </w:r>
      <w:r w:rsidR="00602492">
        <w:rPr>
          <w:rFonts w:ascii="AcadNusx" w:hAnsi="AcadNusx" w:cs="Times New Roman"/>
          <w:sz w:val="16"/>
          <w:szCs w:val="16"/>
        </w:rPr>
        <w:t>85</w:t>
      </w:r>
      <w:r>
        <w:rPr>
          <w:rFonts w:ascii="AcadNusx" w:hAnsi="AcadNusx" w:cs="Times New Roman"/>
          <w:sz w:val="16"/>
          <w:szCs w:val="16"/>
        </w:rPr>
        <w:t xml:space="preserve"> g/sm3</w:t>
      </w:r>
    </w:p>
    <w:p w:rsidR="00602492" w:rsidRDefault="00602492" w:rsidP="00AF54D7">
      <w:pPr>
        <w:tabs>
          <w:tab w:val="left" w:pos="989"/>
        </w:tabs>
        <w:spacing w:after="0" w:line="240" w:lineRule="auto"/>
        <w:rPr>
          <w:rFonts w:ascii="AcadNusx" w:hAnsi="AcadNusx" w:cs="Times New Roman"/>
          <w:sz w:val="16"/>
          <w:szCs w:val="16"/>
        </w:rPr>
      </w:pPr>
      <w:proofErr w:type="gramStart"/>
      <w:r>
        <w:rPr>
          <w:color w:val="000000"/>
          <w:sz w:val="17"/>
          <w:szCs w:val="17"/>
        </w:rPr>
        <w:t>pH</w:t>
      </w:r>
      <w:proofErr w:type="gramEnd"/>
      <w:r>
        <w:rPr>
          <w:color w:val="000000"/>
          <w:sz w:val="17"/>
          <w:szCs w:val="17"/>
        </w:rPr>
        <w:t xml:space="preserve"> </w:t>
      </w:r>
      <w:r>
        <w:rPr>
          <w:rFonts w:ascii="AcadNusx" w:hAnsi="AcadNusx" w:cs="Times New Roman"/>
          <w:sz w:val="16"/>
          <w:szCs w:val="16"/>
        </w:rPr>
        <w:t>done</w:t>
      </w:r>
      <w:r w:rsidRPr="00602492">
        <w:rPr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50 % (v/v)</w:t>
      </w:r>
      <w:r>
        <w:rPr>
          <w:rFonts w:ascii="AcadNusx" w:hAnsi="AcadNusx" w:cs="Times New Roman"/>
          <w:sz w:val="16"/>
          <w:szCs w:val="16"/>
        </w:rPr>
        <w:t xml:space="preserve">: </w:t>
      </w:r>
      <w:proofErr w:type="spellStart"/>
      <w:r>
        <w:rPr>
          <w:rFonts w:ascii="AcadNusx" w:hAnsi="AcadNusx" w:cs="Times New Roman"/>
          <w:sz w:val="16"/>
          <w:szCs w:val="16"/>
        </w:rPr>
        <w:t>daaxl</w:t>
      </w:r>
      <w:proofErr w:type="spellEnd"/>
      <w:r>
        <w:rPr>
          <w:rFonts w:ascii="AcadNusx" w:hAnsi="AcadNusx" w:cs="Times New Roman"/>
          <w:sz w:val="16"/>
          <w:szCs w:val="16"/>
        </w:rPr>
        <w:t>. 8.3</w:t>
      </w:r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 w:cs="Times New Roman"/>
          <w:sz w:val="16"/>
          <w:szCs w:val="16"/>
        </w:rPr>
      </w:pPr>
      <w:proofErr w:type="spellStart"/>
      <w:proofErr w:type="gramStart"/>
      <w:r>
        <w:rPr>
          <w:rFonts w:ascii="AcadNusx" w:hAnsi="AcadNusx" w:cs="Times New Roman"/>
          <w:sz w:val="16"/>
          <w:szCs w:val="16"/>
        </w:rPr>
        <w:t>aalebis</w:t>
      </w:r>
      <w:proofErr w:type="spellEnd"/>
      <w:proofErr w:type="gramEnd"/>
      <w:r>
        <w:rPr>
          <w:rFonts w:ascii="AcadNusx" w:hAnsi="AcadNusx" w:cs="Times New Roman"/>
          <w:sz w:val="16"/>
          <w:szCs w:val="16"/>
        </w:rPr>
        <w:t xml:space="preserve"> </w:t>
      </w:r>
      <w:proofErr w:type="spellStart"/>
      <w:r>
        <w:rPr>
          <w:rFonts w:ascii="AcadNusx" w:hAnsi="AcadNusx" w:cs="Times New Roman"/>
          <w:sz w:val="16"/>
          <w:szCs w:val="16"/>
        </w:rPr>
        <w:t>temperatura</w:t>
      </w:r>
      <w:proofErr w:type="spellEnd"/>
      <w:r w:rsidR="00602492">
        <w:rPr>
          <w:rFonts w:ascii="AcadNusx" w:hAnsi="AcadNusx" w:cs="Times New Roman"/>
          <w:sz w:val="16"/>
          <w:szCs w:val="16"/>
        </w:rPr>
        <w:t xml:space="preserve"> (</w:t>
      </w:r>
      <w:r w:rsidR="00602492">
        <w:rPr>
          <w:rFonts w:ascii="Arial" w:hAnsi="Arial" w:cs="Arial"/>
          <w:sz w:val="18"/>
          <w:szCs w:val="18"/>
        </w:rPr>
        <w:t>DIN 51755)</w:t>
      </w:r>
      <w:r>
        <w:rPr>
          <w:rFonts w:ascii="AcadNusx" w:hAnsi="AcadNusx" w:cs="Times New Roman"/>
          <w:sz w:val="16"/>
          <w:szCs w:val="16"/>
        </w:rPr>
        <w:t xml:space="preserve">: </w:t>
      </w:r>
      <w:r w:rsidR="00602492">
        <w:rPr>
          <w:rFonts w:ascii="AcadNusx" w:hAnsi="AcadNusx" w:cs="Times New Roman"/>
          <w:sz w:val="16"/>
          <w:szCs w:val="16"/>
        </w:rPr>
        <w:t>23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0</w:t>
      </w:r>
      <w:r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AcadNusx" w:hAnsi="AcadNusx" w:cs="Times New Roman"/>
          <w:sz w:val="16"/>
          <w:szCs w:val="16"/>
        </w:rPr>
        <w:t xml:space="preserve"> </w:t>
      </w:r>
    </w:p>
    <w:p w:rsidR="00AF54D7" w:rsidRDefault="00AF54D7" w:rsidP="00AF54D7">
      <w:pPr>
        <w:pStyle w:val="Default"/>
        <w:rPr>
          <w:rFonts w:ascii="AcadNusx" w:hAnsi="AcadNusx"/>
          <w:sz w:val="16"/>
          <w:szCs w:val="16"/>
        </w:rPr>
      </w:pPr>
      <w:proofErr w:type="spellStart"/>
      <w:proofErr w:type="gramStart"/>
      <w:r>
        <w:rPr>
          <w:rFonts w:ascii="AcadNusx" w:hAnsi="AcadNusx"/>
          <w:sz w:val="16"/>
          <w:szCs w:val="16"/>
        </w:rPr>
        <w:t>stabiluroba</w:t>
      </w:r>
      <w:proofErr w:type="spellEnd"/>
      <w:proofErr w:type="gramEnd"/>
      <w:r>
        <w:rPr>
          <w:rFonts w:ascii="AcadNusx" w:hAnsi="AcadNusx"/>
          <w:sz w:val="16"/>
          <w:szCs w:val="16"/>
        </w:rPr>
        <w:t>:</w:t>
      </w:r>
    </w:p>
    <w:p w:rsidR="00602492" w:rsidRDefault="00602492" w:rsidP="00AF54D7">
      <w:pPr>
        <w:pStyle w:val="Default"/>
        <w:rPr>
          <w:rFonts w:ascii="AcadNusx" w:hAnsi="AcadNusx"/>
          <w:sz w:val="16"/>
          <w:szCs w:val="16"/>
        </w:rPr>
      </w:pPr>
      <w:proofErr w:type="spellStart"/>
      <w:proofErr w:type="gramStart"/>
      <w:r>
        <w:rPr>
          <w:rFonts w:ascii="AcadNusx" w:hAnsi="AcadNusx"/>
          <w:sz w:val="16"/>
          <w:szCs w:val="16"/>
        </w:rPr>
        <w:t>gauxsneli</w:t>
      </w:r>
      <w:proofErr w:type="spellEnd"/>
      <w:proofErr w:type="gramEnd"/>
      <w:r>
        <w:rPr>
          <w:rFonts w:ascii="AcadNusx" w:hAnsi="AcadNusx"/>
          <w:sz w:val="16"/>
          <w:szCs w:val="16"/>
        </w:rPr>
        <w:t xml:space="preserve">: 60 </w:t>
      </w:r>
      <w:proofErr w:type="spellStart"/>
      <w:r>
        <w:rPr>
          <w:rFonts w:ascii="AcadNusx" w:hAnsi="AcadNusx"/>
          <w:sz w:val="16"/>
          <w:szCs w:val="16"/>
        </w:rPr>
        <w:t>Tve</w:t>
      </w:r>
      <w:proofErr w:type="spellEnd"/>
    </w:p>
    <w:p w:rsidR="00AF54D7" w:rsidRDefault="00602492" w:rsidP="00AF54D7">
      <w:pPr>
        <w:pStyle w:val="Default"/>
        <w:rPr>
          <w:rFonts w:ascii="AcadNusx" w:hAnsi="AcadNusx"/>
          <w:sz w:val="16"/>
          <w:szCs w:val="16"/>
        </w:rPr>
      </w:pPr>
      <w:proofErr w:type="spellStart"/>
      <w:proofErr w:type="gramStart"/>
      <w:r>
        <w:rPr>
          <w:rFonts w:ascii="AcadNusx" w:hAnsi="AcadNusx"/>
          <w:sz w:val="16"/>
          <w:szCs w:val="16"/>
        </w:rPr>
        <w:t>gaxsnis</w:t>
      </w:r>
      <w:proofErr w:type="spellEnd"/>
      <w:proofErr w:type="gram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Semdeg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 w:rsidR="00AF54D7">
        <w:rPr>
          <w:rFonts w:ascii="AcadNusx" w:hAnsi="AcadNusx"/>
          <w:sz w:val="16"/>
          <w:szCs w:val="16"/>
        </w:rPr>
        <w:t>mWidrod</w:t>
      </w:r>
      <w:proofErr w:type="spellEnd"/>
      <w:r w:rsidR="00AF54D7">
        <w:rPr>
          <w:rFonts w:ascii="AcadNusx" w:hAnsi="AcadNusx"/>
          <w:sz w:val="16"/>
          <w:szCs w:val="16"/>
        </w:rPr>
        <w:t xml:space="preserve"> </w:t>
      </w:r>
      <w:proofErr w:type="spellStart"/>
      <w:r w:rsidR="00AF54D7">
        <w:rPr>
          <w:rFonts w:ascii="AcadNusx" w:hAnsi="AcadNusx"/>
          <w:sz w:val="16"/>
          <w:szCs w:val="16"/>
        </w:rPr>
        <w:t>Tavdaxuruli</w:t>
      </w:r>
      <w:proofErr w:type="spellEnd"/>
      <w:r w:rsidR="00AF54D7">
        <w:rPr>
          <w:rFonts w:ascii="AcadNusx" w:hAnsi="AcadNusx"/>
          <w:sz w:val="16"/>
          <w:szCs w:val="16"/>
        </w:rPr>
        <w:t xml:space="preserve"> </w:t>
      </w:r>
      <w:proofErr w:type="spellStart"/>
      <w:r w:rsidR="00AF54D7">
        <w:rPr>
          <w:rFonts w:ascii="AcadNusx" w:hAnsi="AcadNusx"/>
          <w:sz w:val="16"/>
          <w:szCs w:val="16"/>
        </w:rPr>
        <w:t>knteinerisaTvis</w:t>
      </w:r>
      <w:proofErr w:type="spellEnd"/>
      <w:r>
        <w:rPr>
          <w:rFonts w:ascii="AcadNusx" w:hAnsi="AcadNusx"/>
          <w:sz w:val="16"/>
          <w:szCs w:val="16"/>
        </w:rPr>
        <w:t>:</w:t>
      </w:r>
      <w:r w:rsidR="00AF54D7">
        <w:rPr>
          <w:rFonts w:ascii="AcadNusx" w:hAnsi="AcadNusx"/>
          <w:sz w:val="16"/>
          <w:szCs w:val="16"/>
        </w:rPr>
        <w:t xml:space="preserve"> 12 </w:t>
      </w:r>
      <w:proofErr w:type="spellStart"/>
      <w:r w:rsidR="00AF54D7">
        <w:rPr>
          <w:rFonts w:ascii="AcadNusx" w:hAnsi="AcadNusx"/>
          <w:sz w:val="16"/>
          <w:szCs w:val="16"/>
        </w:rPr>
        <w:t>Tve</w:t>
      </w:r>
      <w:proofErr w:type="spellEnd"/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  <w:proofErr w:type="spellStart"/>
      <w:proofErr w:type="gramStart"/>
      <w:r>
        <w:rPr>
          <w:rFonts w:ascii="AcadNusx" w:hAnsi="AcadNusx"/>
          <w:sz w:val="16"/>
          <w:szCs w:val="16"/>
        </w:rPr>
        <w:t>dispenserisaTvis</w:t>
      </w:r>
      <w:proofErr w:type="spellEnd"/>
      <w:proofErr w:type="gramEnd"/>
      <w:r>
        <w:rPr>
          <w:rFonts w:ascii="AcadNusx" w:hAnsi="AcadNusx"/>
          <w:sz w:val="16"/>
          <w:szCs w:val="16"/>
        </w:rPr>
        <w:t xml:space="preserve">: 6 </w:t>
      </w:r>
      <w:proofErr w:type="spellStart"/>
      <w:r>
        <w:rPr>
          <w:rFonts w:ascii="AcadNusx" w:hAnsi="AcadNusx"/>
          <w:sz w:val="16"/>
          <w:szCs w:val="16"/>
        </w:rPr>
        <w:t>Tve</w:t>
      </w:r>
      <w:proofErr w:type="spellEnd"/>
      <w:r>
        <w:rPr>
          <w:rFonts w:ascii="AcadNusx" w:hAnsi="AcadNusx"/>
          <w:sz w:val="16"/>
          <w:szCs w:val="16"/>
        </w:rPr>
        <w:t>.</w:t>
      </w:r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  <w:proofErr w:type="spellStart"/>
      <w:proofErr w:type="gramStart"/>
      <w:r>
        <w:rPr>
          <w:rFonts w:ascii="AcadNusx" w:hAnsi="AcadNusx"/>
          <w:sz w:val="16"/>
          <w:szCs w:val="16"/>
        </w:rPr>
        <w:t>prezentacia</w:t>
      </w:r>
      <w:proofErr w:type="spellEnd"/>
      <w:proofErr w:type="gramEnd"/>
      <w:r>
        <w:rPr>
          <w:rFonts w:ascii="AcadNusx" w:hAnsi="AcadNusx"/>
          <w:sz w:val="16"/>
          <w:szCs w:val="16"/>
        </w:rPr>
        <w:t>:</w:t>
      </w:r>
    </w:p>
    <w:p w:rsidR="00AF54D7" w:rsidRDefault="002058C4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  <w:r>
        <w:rPr>
          <w:rFonts w:ascii="AcadNusx" w:hAnsi="AcadNusx"/>
          <w:sz w:val="16"/>
          <w:szCs w:val="16"/>
        </w:rPr>
        <w:t>50</w:t>
      </w:r>
      <w:r w:rsidR="00AF54D7">
        <w:rPr>
          <w:rFonts w:ascii="AcadNusx" w:hAnsi="AcadNusx"/>
          <w:sz w:val="16"/>
          <w:szCs w:val="16"/>
        </w:rPr>
        <w:t xml:space="preserve">ml. </w:t>
      </w:r>
      <w:proofErr w:type="spellStart"/>
      <w:r w:rsidR="00AF54D7">
        <w:rPr>
          <w:rFonts w:ascii="AcadNusx" w:hAnsi="AcadNusx"/>
          <w:sz w:val="16"/>
          <w:szCs w:val="16"/>
        </w:rPr>
        <w:t>boTli</w:t>
      </w:r>
      <w:proofErr w:type="spellEnd"/>
      <w:r w:rsidR="00AF54D7">
        <w:rPr>
          <w:rFonts w:ascii="AcadNusx" w:hAnsi="AcadNusx"/>
          <w:sz w:val="16"/>
          <w:szCs w:val="16"/>
        </w:rPr>
        <w:t xml:space="preserve">, </w:t>
      </w:r>
      <w:r>
        <w:rPr>
          <w:rFonts w:ascii="AcadNusx" w:hAnsi="AcadNusx"/>
          <w:sz w:val="16"/>
          <w:szCs w:val="16"/>
        </w:rPr>
        <w:t>1</w:t>
      </w:r>
      <w:r w:rsidR="00AF54D7">
        <w:rPr>
          <w:rFonts w:ascii="AcadNusx" w:hAnsi="AcadNusx"/>
          <w:sz w:val="16"/>
          <w:szCs w:val="16"/>
        </w:rPr>
        <w:t xml:space="preserve">00ml. </w:t>
      </w:r>
      <w:proofErr w:type="spellStart"/>
      <w:r w:rsidR="00AF54D7">
        <w:rPr>
          <w:rFonts w:ascii="AcadNusx" w:hAnsi="AcadNusx"/>
          <w:sz w:val="16"/>
          <w:szCs w:val="16"/>
        </w:rPr>
        <w:t>boTli</w:t>
      </w:r>
      <w:proofErr w:type="spellEnd"/>
      <w:r>
        <w:rPr>
          <w:rFonts w:ascii="AcadNusx" w:hAnsi="AcadNusx"/>
          <w:sz w:val="16"/>
          <w:szCs w:val="16"/>
        </w:rPr>
        <w:t xml:space="preserve">, 500ml. </w:t>
      </w:r>
      <w:proofErr w:type="spellStart"/>
      <w:r>
        <w:rPr>
          <w:rFonts w:ascii="AcadNusx" w:hAnsi="AcadNusx"/>
          <w:sz w:val="16"/>
          <w:szCs w:val="16"/>
        </w:rPr>
        <w:t>boTli</w:t>
      </w:r>
      <w:proofErr w:type="spellEnd"/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  <w:r>
        <w:rPr>
          <w:rFonts w:ascii="AcadNusx" w:hAnsi="AcadNusx"/>
          <w:sz w:val="16"/>
          <w:szCs w:val="16"/>
        </w:rPr>
        <w:t xml:space="preserve">1l. </w:t>
      </w:r>
      <w:proofErr w:type="spellStart"/>
      <w:r>
        <w:rPr>
          <w:rFonts w:ascii="AcadNusx" w:hAnsi="AcadNusx"/>
          <w:sz w:val="16"/>
          <w:szCs w:val="16"/>
        </w:rPr>
        <w:t>boTli</w:t>
      </w:r>
      <w:proofErr w:type="spellEnd"/>
      <w:proofErr w:type="gramStart"/>
      <w:r w:rsidR="002058C4">
        <w:rPr>
          <w:rFonts w:ascii="AcadNusx" w:hAnsi="AcadNusx"/>
          <w:sz w:val="16"/>
          <w:szCs w:val="16"/>
        </w:rPr>
        <w:t xml:space="preserve">, </w:t>
      </w:r>
      <w:r>
        <w:rPr>
          <w:rFonts w:ascii="AcadNusx" w:hAnsi="AcadNusx"/>
          <w:sz w:val="16"/>
          <w:szCs w:val="16"/>
        </w:rPr>
        <w:t xml:space="preserve"> </w:t>
      </w:r>
      <w:r w:rsidR="002058C4">
        <w:rPr>
          <w:rFonts w:ascii="AcadNusx" w:hAnsi="AcadNusx"/>
          <w:sz w:val="16"/>
          <w:szCs w:val="16"/>
        </w:rPr>
        <w:t>5l</w:t>
      </w:r>
      <w:proofErr w:type="gramEnd"/>
      <w:r w:rsidR="002058C4">
        <w:rPr>
          <w:rFonts w:ascii="AcadNusx" w:hAnsi="AcadNusx"/>
          <w:sz w:val="16"/>
          <w:szCs w:val="16"/>
        </w:rPr>
        <w:t xml:space="preserve">. </w:t>
      </w:r>
      <w:proofErr w:type="spellStart"/>
      <w:proofErr w:type="gramStart"/>
      <w:r w:rsidR="002058C4">
        <w:rPr>
          <w:rFonts w:ascii="AcadNusx" w:hAnsi="AcadNusx"/>
          <w:sz w:val="16"/>
          <w:szCs w:val="16"/>
        </w:rPr>
        <w:t>boTli</w:t>
      </w:r>
      <w:proofErr w:type="spellEnd"/>
      <w:proofErr w:type="gramEnd"/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  <w:proofErr w:type="spellStart"/>
      <w:r>
        <w:rPr>
          <w:rFonts w:ascii="AcadNusx" w:hAnsi="AcadNusx"/>
          <w:sz w:val="16"/>
          <w:szCs w:val="16"/>
        </w:rPr>
        <w:t>SeniSvna</w:t>
      </w:r>
      <w:proofErr w:type="spellEnd"/>
      <w:r>
        <w:rPr>
          <w:rFonts w:ascii="AcadNusx" w:hAnsi="AcadNusx"/>
          <w:sz w:val="16"/>
          <w:szCs w:val="16"/>
        </w:rPr>
        <w:t xml:space="preserve">: </w:t>
      </w:r>
      <w:proofErr w:type="spellStart"/>
      <w:r>
        <w:rPr>
          <w:rFonts w:ascii="AcadNusx" w:hAnsi="AcadNusx"/>
          <w:sz w:val="16"/>
          <w:szCs w:val="16"/>
        </w:rPr>
        <w:t>rekomendaciebi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mocemulia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keTilsindisierad</w:t>
      </w:r>
      <w:proofErr w:type="spellEnd"/>
      <w:r>
        <w:rPr>
          <w:rFonts w:ascii="AcadNusx" w:hAnsi="AcadNusx"/>
          <w:sz w:val="16"/>
          <w:szCs w:val="16"/>
        </w:rPr>
        <w:t xml:space="preserve">, </w:t>
      </w:r>
      <w:proofErr w:type="spellStart"/>
      <w:r>
        <w:rPr>
          <w:rFonts w:ascii="AcadNusx" w:hAnsi="AcadNusx"/>
          <w:sz w:val="16"/>
          <w:szCs w:val="16"/>
        </w:rPr>
        <w:t>sxva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damatebiTi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informacia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xelmosawvdomia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mxolod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calkeul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SemTxvevebSi</w:t>
      </w:r>
      <w:proofErr w:type="spellEnd"/>
      <w:r>
        <w:rPr>
          <w:rFonts w:ascii="AcadNusx" w:hAnsi="AcadNusx"/>
          <w:sz w:val="16"/>
          <w:szCs w:val="16"/>
        </w:rPr>
        <w:t xml:space="preserve">. </w:t>
      </w:r>
      <w:proofErr w:type="spellStart"/>
      <w:r>
        <w:rPr>
          <w:rFonts w:ascii="AcadNusx" w:hAnsi="AcadNusx"/>
          <w:sz w:val="16"/>
          <w:szCs w:val="16"/>
        </w:rPr>
        <w:t>Cveni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rekomendaciebi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ar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moicavs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valdebulebebs</w:t>
      </w:r>
      <w:proofErr w:type="spellEnd"/>
      <w:r>
        <w:rPr>
          <w:rFonts w:ascii="AcadNusx" w:hAnsi="AcadNusx"/>
          <w:sz w:val="16"/>
          <w:szCs w:val="16"/>
        </w:rPr>
        <w:t xml:space="preserve"> da </w:t>
      </w:r>
      <w:proofErr w:type="spellStart"/>
      <w:r>
        <w:rPr>
          <w:rFonts w:ascii="AcadNusx" w:hAnsi="AcadNusx"/>
          <w:sz w:val="16"/>
          <w:szCs w:val="16"/>
        </w:rPr>
        <w:t>ar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warmoadgens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garantias</w:t>
      </w:r>
      <w:proofErr w:type="spellEnd"/>
      <w:r>
        <w:rPr>
          <w:rFonts w:ascii="AcadNusx" w:hAnsi="AcadNusx"/>
          <w:sz w:val="16"/>
          <w:szCs w:val="16"/>
        </w:rPr>
        <w:t xml:space="preserve">. </w:t>
      </w:r>
      <w:proofErr w:type="spellStart"/>
      <w:r>
        <w:rPr>
          <w:rFonts w:ascii="AcadNusx" w:hAnsi="AcadNusx"/>
          <w:sz w:val="16"/>
          <w:szCs w:val="16"/>
        </w:rPr>
        <w:t>Cven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ar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viRebT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pasuxismgeblobas</w:t>
      </w:r>
      <w:proofErr w:type="spellEnd"/>
      <w:r>
        <w:rPr>
          <w:rFonts w:ascii="AcadNusx" w:hAnsi="AcadNusx"/>
          <w:sz w:val="16"/>
          <w:szCs w:val="16"/>
        </w:rPr>
        <w:t xml:space="preserve">. </w:t>
      </w:r>
      <w:proofErr w:type="spellStart"/>
      <w:r>
        <w:rPr>
          <w:rFonts w:ascii="AcadNusx" w:hAnsi="AcadNusx"/>
          <w:sz w:val="16"/>
          <w:szCs w:val="16"/>
        </w:rPr>
        <w:t>Cveni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pasuxismgebloba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moicavs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mxolod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gayidvebisa</w:t>
      </w:r>
      <w:proofErr w:type="spellEnd"/>
      <w:r>
        <w:rPr>
          <w:rFonts w:ascii="AcadNusx" w:hAnsi="AcadNusx"/>
          <w:sz w:val="16"/>
          <w:szCs w:val="16"/>
        </w:rPr>
        <w:t xml:space="preserve"> da </w:t>
      </w:r>
      <w:proofErr w:type="spellStart"/>
      <w:r>
        <w:rPr>
          <w:rFonts w:ascii="AcadNusx" w:hAnsi="AcadNusx"/>
          <w:sz w:val="16"/>
          <w:szCs w:val="16"/>
        </w:rPr>
        <w:t>mowodebis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uzrunvelyofas</w:t>
      </w:r>
      <w:proofErr w:type="spellEnd"/>
      <w:r>
        <w:rPr>
          <w:rFonts w:ascii="AcadNusx" w:hAnsi="AcadNusx"/>
          <w:sz w:val="16"/>
          <w:szCs w:val="16"/>
        </w:rPr>
        <w:t>.</w:t>
      </w:r>
    </w:p>
    <w:p w:rsidR="00AF54D7" w:rsidRDefault="00AF54D7" w:rsidP="00AF54D7">
      <w:pPr>
        <w:tabs>
          <w:tab w:val="left" w:pos="989"/>
        </w:tabs>
        <w:spacing w:after="0" w:line="240" w:lineRule="auto"/>
        <w:rPr>
          <w:rFonts w:ascii="AcadNusx" w:hAnsi="AcadNusx"/>
          <w:sz w:val="16"/>
          <w:szCs w:val="16"/>
        </w:rPr>
      </w:pPr>
      <w:proofErr w:type="spellStart"/>
      <w:r>
        <w:rPr>
          <w:rFonts w:ascii="AcadNusx" w:hAnsi="AcadNusx"/>
          <w:sz w:val="16"/>
          <w:szCs w:val="16"/>
        </w:rPr>
        <w:t>Cvens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mier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mowodebuli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higienisa</w:t>
      </w:r>
      <w:proofErr w:type="spellEnd"/>
      <w:r>
        <w:rPr>
          <w:rFonts w:ascii="AcadNusx" w:hAnsi="AcadNusx"/>
          <w:sz w:val="16"/>
          <w:szCs w:val="16"/>
        </w:rPr>
        <w:t xml:space="preserve"> da </w:t>
      </w:r>
      <w:proofErr w:type="spellStart"/>
      <w:r>
        <w:rPr>
          <w:rFonts w:ascii="AcadNusx" w:hAnsi="AcadNusx"/>
          <w:sz w:val="16"/>
          <w:szCs w:val="16"/>
        </w:rPr>
        <w:t>deznfeqciis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produqtebi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uzrunvelyofs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saukeTeso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xarisxs</w:t>
      </w:r>
      <w:proofErr w:type="spellEnd"/>
      <w:r>
        <w:rPr>
          <w:rFonts w:ascii="AcadNusx" w:hAnsi="AcadNusx"/>
          <w:sz w:val="16"/>
          <w:szCs w:val="16"/>
        </w:rPr>
        <w:t>.</w:t>
      </w:r>
    </w:p>
    <w:p w:rsidR="00AF54D7" w:rsidRDefault="00AF54D7" w:rsidP="00AF54D7">
      <w:pPr>
        <w:spacing w:after="0" w:line="240" w:lineRule="auto"/>
        <w:rPr>
          <w:rFonts w:ascii="AcadMtavr" w:hAnsi="AcadMtavr"/>
          <w:sz w:val="16"/>
          <w:szCs w:val="16"/>
        </w:rPr>
      </w:pPr>
    </w:p>
    <w:p w:rsidR="00FF16CA" w:rsidRDefault="00AF54D7" w:rsidP="007D4DA5">
      <w:pPr>
        <w:tabs>
          <w:tab w:val="left" w:pos="989"/>
        </w:tabs>
        <w:spacing w:after="0" w:line="240" w:lineRule="auto"/>
      </w:pPr>
      <w:proofErr w:type="spellStart"/>
      <w:proofErr w:type="gramStart"/>
      <w:r>
        <w:rPr>
          <w:rFonts w:ascii="AcadNusx" w:hAnsi="AcadNusx"/>
          <w:sz w:val="16"/>
          <w:szCs w:val="16"/>
        </w:rPr>
        <w:t>meti</w:t>
      </w:r>
      <w:proofErr w:type="spellEnd"/>
      <w:proofErr w:type="gram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informaciisaTvis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mimarTeT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veb-gverds</w:t>
      </w:r>
      <w:proofErr w:type="spellEnd"/>
      <w:r>
        <w:rPr>
          <w:rFonts w:ascii="AcadNusx" w:hAnsi="AcadNusx"/>
          <w:sz w:val="16"/>
          <w:szCs w:val="16"/>
        </w:rPr>
        <w:t xml:space="preserve">: </w:t>
      </w:r>
      <w:r>
        <w:rPr>
          <w:rFonts w:ascii="Arial" w:hAnsi="Arial" w:cs="Arial"/>
          <w:color w:val="004495"/>
          <w:sz w:val="16"/>
          <w:szCs w:val="16"/>
        </w:rPr>
        <w:t>www.</w:t>
      </w:r>
      <w:r w:rsidR="002058C4">
        <w:rPr>
          <w:rFonts w:ascii="Arial" w:hAnsi="Arial" w:cs="Arial"/>
          <w:color w:val="004495"/>
          <w:sz w:val="16"/>
          <w:szCs w:val="16"/>
        </w:rPr>
        <w:t>hartmann</w:t>
      </w:r>
      <w:r>
        <w:rPr>
          <w:rFonts w:ascii="Arial" w:hAnsi="Arial" w:cs="Arial"/>
          <w:color w:val="004495"/>
          <w:sz w:val="16"/>
          <w:szCs w:val="16"/>
        </w:rPr>
        <w:t>.com</w:t>
      </w:r>
    </w:p>
    <w:sectPr w:rsidR="00FF16CA" w:rsidSect="00A37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F49"/>
    <w:multiLevelType w:val="hybridMultilevel"/>
    <w:tmpl w:val="C2085C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07D2E"/>
    <w:multiLevelType w:val="hybridMultilevel"/>
    <w:tmpl w:val="7DFE2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7EB8"/>
    <w:rsid w:val="00025792"/>
    <w:rsid w:val="001306B6"/>
    <w:rsid w:val="0018411D"/>
    <w:rsid w:val="001E58EC"/>
    <w:rsid w:val="002058C4"/>
    <w:rsid w:val="00264B35"/>
    <w:rsid w:val="00290769"/>
    <w:rsid w:val="002A446E"/>
    <w:rsid w:val="002B00C6"/>
    <w:rsid w:val="002C266D"/>
    <w:rsid w:val="00602492"/>
    <w:rsid w:val="00677EB8"/>
    <w:rsid w:val="00735927"/>
    <w:rsid w:val="007D4DA5"/>
    <w:rsid w:val="0088005C"/>
    <w:rsid w:val="008F03E6"/>
    <w:rsid w:val="00AF54D7"/>
    <w:rsid w:val="00B03071"/>
    <w:rsid w:val="00B0773A"/>
    <w:rsid w:val="00B357C5"/>
    <w:rsid w:val="00BA6D88"/>
    <w:rsid w:val="00C4334C"/>
    <w:rsid w:val="00CD2FB3"/>
    <w:rsid w:val="00CE708B"/>
    <w:rsid w:val="00DB0C44"/>
    <w:rsid w:val="00DB7A9C"/>
    <w:rsid w:val="00E23076"/>
    <w:rsid w:val="00EF7769"/>
    <w:rsid w:val="00F45E26"/>
    <w:rsid w:val="00FA2F2B"/>
    <w:rsid w:val="00FF16CA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B8"/>
    <w:pPr>
      <w:ind w:left="720"/>
      <w:contextualSpacing/>
    </w:pPr>
  </w:style>
  <w:style w:type="paragraph" w:customStyle="1" w:styleId="Note6pt">
    <w:name w:val="Note 6pt"/>
    <w:basedOn w:val="a"/>
    <w:next w:val="a"/>
    <w:uiPriority w:val="99"/>
    <w:rsid w:val="00677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pyBlocksatz">
    <w:name w:val="Copy Blocksatz"/>
    <w:basedOn w:val="a"/>
    <w:next w:val="a"/>
    <w:uiPriority w:val="99"/>
    <w:rsid w:val="00677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basedOn w:val="a"/>
    <w:next w:val="a"/>
    <w:uiPriority w:val="99"/>
    <w:rsid w:val="00677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77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677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EB8"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Default"/>
    <w:next w:val="Default"/>
    <w:uiPriority w:val="99"/>
    <w:rsid w:val="002A446E"/>
    <w:rPr>
      <w:color w:val="auto"/>
    </w:rPr>
  </w:style>
  <w:style w:type="paragraph" w:customStyle="1" w:styleId="berschrift6">
    <w:name w:val="Überschrift 6"/>
    <w:basedOn w:val="Default"/>
    <w:next w:val="Default"/>
    <w:uiPriority w:val="99"/>
    <w:rsid w:val="00290769"/>
    <w:rPr>
      <w:color w:val="auto"/>
    </w:rPr>
  </w:style>
  <w:style w:type="paragraph" w:customStyle="1" w:styleId="berschrift8">
    <w:name w:val="Überschrift 8"/>
    <w:basedOn w:val="Default"/>
    <w:next w:val="Default"/>
    <w:uiPriority w:val="99"/>
    <w:rsid w:val="0029076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shoren</cp:lastModifiedBy>
  <cp:revision>34</cp:revision>
  <cp:lastPrinted>2019-11-12T10:04:00Z</cp:lastPrinted>
  <dcterms:created xsi:type="dcterms:W3CDTF">2013-02-03T17:31:00Z</dcterms:created>
  <dcterms:modified xsi:type="dcterms:W3CDTF">2019-11-12T10:04:00Z</dcterms:modified>
</cp:coreProperties>
</file>